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版本号：GLD2025-053001Z20250604001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校园安防水平提升工程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GLD2025-053001Z</w:t>
      </w:r>
      <w:r>
        <w:br/>
      </w:r>
      <w:r>
        <w:br/>
      </w:r>
      <w:r>
        <w:br/>
      </w:r>
    </w:p>
    <w:p>
      <w:pPr>
        <w:pStyle w:val="null3"/>
        <w:jc w:val="center"/>
        <w:outlineLvl w:val="2"/>
      </w:pPr>
      <w:r>
        <w:rPr>
          <w:rFonts w:ascii="仿宋_GB2312" w:hAnsi="仿宋_GB2312" w:cs="仿宋_GB2312" w:eastAsia="仿宋_GB2312"/>
          <w:sz w:val="28"/>
          <w:b/>
        </w:rPr>
        <w:t>铜川市红旗街小学</w:t>
      </w:r>
    </w:p>
    <w:p>
      <w:pPr>
        <w:pStyle w:val="null3"/>
        <w:jc w:val="center"/>
        <w:outlineLvl w:val="2"/>
      </w:pPr>
      <w:r>
        <w:rPr>
          <w:rFonts w:ascii="仿宋_GB2312" w:hAnsi="仿宋_GB2312" w:cs="仿宋_GB2312" w:eastAsia="仿宋_GB2312"/>
          <w:sz w:val="28"/>
          <w:b/>
        </w:rPr>
        <w:t>陕西广联达招标有限公司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陕西广联达招标有限公司</w:t>
      </w:r>
      <w:r>
        <w:rPr>
          <w:rFonts w:ascii="仿宋_GB2312" w:hAnsi="仿宋_GB2312" w:cs="仿宋_GB2312" w:eastAsia="仿宋_GB2312"/>
        </w:rPr>
        <w:t>（以下简称“代理机构”）受</w:t>
      </w:r>
      <w:r>
        <w:rPr>
          <w:rFonts w:ascii="仿宋_GB2312" w:hAnsi="仿宋_GB2312" w:cs="仿宋_GB2312" w:eastAsia="仿宋_GB2312"/>
        </w:rPr>
        <w:t>铜川市红旗街小学</w:t>
      </w:r>
      <w:r>
        <w:rPr>
          <w:rFonts w:ascii="仿宋_GB2312" w:hAnsi="仿宋_GB2312" w:cs="仿宋_GB2312" w:eastAsia="仿宋_GB2312"/>
        </w:rPr>
        <w:t>委托，拟对</w:t>
      </w:r>
      <w:r>
        <w:rPr>
          <w:rFonts w:ascii="仿宋_GB2312" w:hAnsi="仿宋_GB2312" w:cs="仿宋_GB2312" w:eastAsia="仿宋_GB2312"/>
        </w:rPr>
        <w:t>校园安防水平提升工程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GLD2025-053001Z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校园安防水平提升工程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红旗街小学校园安防水平提升工程主要建设内容：刷喷涂料、柱面粘贴凸凹仿石材瓷砖、外墙保温层拆除、垃圾外运、墙裙瓷砖、墙面一般抹灰、人工凿除实验基地门口大门柱瓷砖、实验基地栏杆、廊架刷油漆、原库房钢屋架及屋面、竹木纤维板墙裙、实木踢脚线、墙裙上部压条安装、不锈钢平开门安装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采购包1（校园安防水平提升工程）：属于专门面向中小企业采购。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1、企业资质：供应商须具备建筑工程施工总承包三级以上（含三级）资质或建筑装修装饰工程专业承包二级以 上（含二级）资质，具有有效的安全生产许可证</w:t>
      </w:r>
    </w:p>
    <w:p>
      <w:pPr>
        <w:pStyle w:val="null3"/>
      </w:pPr>
      <w:r>
        <w:rPr>
          <w:rFonts w:ascii="仿宋_GB2312" w:hAnsi="仿宋_GB2312" w:cs="仿宋_GB2312" w:eastAsia="仿宋_GB2312"/>
        </w:rPr>
        <w:t>2、拟派项目负责人资质和专业要求。：证书等级：注册建造师执业资格二级 以上（含二级） 专业：建筑工程 补充说明：同时具备有效的安全生产考核合格证书，且未担任其他在施建设工程项目的项目经理</w:t>
      </w:r>
    </w:p>
    <w:p>
      <w:pPr>
        <w:pStyle w:val="null3"/>
      </w:pPr>
      <w:r>
        <w:rPr>
          <w:rFonts w:ascii="仿宋_GB2312" w:hAnsi="仿宋_GB2312" w:cs="仿宋_GB2312" w:eastAsia="仿宋_GB2312"/>
        </w:rPr>
        <w:t>3、有效的主体资格证明：具有独立承担民事责任能力的法人、其他组织或自然人，并出具有效的营业执照或事业单位法人证书等国家规定的相关证明，自然人参与的提供其身份证明；</w:t>
      </w:r>
    </w:p>
    <w:p>
      <w:pPr>
        <w:pStyle w:val="null3"/>
      </w:pPr>
      <w:r>
        <w:rPr>
          <w:rFonts w:ascii="仿宋_GB2312" w:hAnsi="仿宋_GB2312" w:cs="仿宋_GB2312" w:eastAsia="仿宋_GB2312"/>
        </w:rPr>
        <w:t>4、税收缴纳证明：提供上一年度至今已缴纳的至少一个月的纳税证明或完税证明，依法免税的单位应提供相关证明材料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5、社会保障资金缴纳证明：提供上一年度至今已缴存的至少一个月的有效社会保障资金缴纳证明。依法不需要缴纳社会保障 资金的单位应提供相关证明材料</w:t>
      </w:r>
    </w:p>
    <w:p>
      <w:pPr>
        <w:pStyle w:val="null3"/>
      </w:pPr>
      <w:r>
        <w:rPr>
          <w:rFonts w:ascii="仿宋_GB2312" w:hAnsi="仿宋_GB2312" w:cs="仿宋_GB2312" w:eastAsia="仿宋_GB2312"/>
        </w:rPr>
        <w:t>6、财务状况报告：提供近3年任意一年度经审计的财务报告（内容至少包括资产负债表、利润表、现金流量表及附 注，成立时间至提交投标文件截止时间不足一年的可提供成立后任意时段的资产负债表），或开 标前六个月内银行出具的资信证明</w:t>
      </w:r>
    </w:p>
    <w:p>
      <w:pPr>
        <w:pStyle w:val="null3"/>
      </w:pPr>
      <w:r>
        <w:rPr>
          <w:rFonts w:ascii="仿宋_GB2312" w:hAnsi="仿宋_GB2312" w:cs="仿宋_GB2312" w:eastAsia="仿宋_GB2312"/>
        </w:rPr>
        <w:t>7、法定代表人授权书/法定代表人身份证明：提供法定代表人授权书（附法定代表人、被授权人身份证复印件）（法定代表人直接参加投标， 须提供法定代表人身份证明及身份证）</w:t>
      </w:r>
    </w:p>
    <w:p>
      <w:pPr>
        <w:pStyle w:val="null3"/>
      </w:pPr>
      <w:r>
        <w:rPr>
          <w:rFonts w:ascii="仿宋_GB2312" w:hAnsi="仿宋_GB2312" w:cs="仿宋_GB2312" w:eastAsia="仿宋_GB2312"/>
        </w:rPr>
        <w:t>8、供应商信誉要求：信用中国”网站和“中国政府采购网”为供应商信用信息查询渠道，如果供应商被查实在投标截止 时间前已列入失信被执行人、重大税收违法案件当事人名单、政府采购严重违法失信行为记录名 单，其投标为无效</w:t>
      </w:r>
    </w:p>
    <w:p>
      <w:pPr>
        <w:pStyle w:val="null3"/>
      </w:pPr>
      <w:r>
        <w:rPr>
          <w:rFonts w:ascii="仿宋_GB2312" w:hAnsi="仿宋_GB2312" w:cs="仿宋_GB2312" w:eastAsia="仿宋_GB2312"/>
        </w:rPr>
        <w:t>9、书面声明：参加政府采购活动前3年内，在经营活动中没有重大违法记录的书面声明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铜川市红旗街小学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铜川市王益区育才路 21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铜川市红旗街小学经办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0919-8161616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陕西广联达招标有限公司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西安经济技术开发区明光路 55 号天朗经开中心 25 层2505室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029-83666003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采购包1：650,807.90元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》（发改价格〔2011〕534号）采用现金、转账或汇款方式向陕西广联达招标有限公司交纳招标服务费。 名 称：陕西广联达招标有限公司 开户行：中国银行股份有限公司西安万寿路支行 账 号：1028 4964 6773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铜川市红旗街小学</w:t>
      </w:r>
      <w:r>
        <w:rPr>
          <w:rFonts w:ascii="仿宋_GB2312" w:hAnsi="仿宋_GB2312" w:cs="仿宋_GB2312" w:eastAsia="仿宋_GB2312"/>
        </w:rPr>
        <w:t>和</w:t>
      </w:r>
      <w:r>
        <w:rPr>
          <w:rFonts w:ascii="仿宋_GB2312" w:hAnsi="仿宋_GB2312" w:cs="仿宋_GB2312" w:eastAsia="仿宋_GB2312"/>
        </w:rPr>
        <w:t>陕西广联达招标有限公司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铜川市红旗街小学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陕西广联达招标有限公司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铜川市红旗街小学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陕西广联达招标有限公司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 工</w:t>
      </w:r>
    </w:p>
    <w:p>
      <w:pPr>
        <w:pStyle w:val="null3"/>
      </w:pPr>
      <w:r>
        <w:rPr>
          <w:rFonts w:ascii="仿宋_GB2312" w:hAnsi="仿宋_GB2312" w:cs="仿宋_GB2312" w:eastAsia="仿宋_GB2312"/>
        </w:rPr>
        <w:t>联系电话：029-83666003</w:t>
      </w:r>
    </w:p>
    <w:p>
      <w:pPr>
        <w:pStyle w:val="null3"/>
      </w:pPr>
      <w:r>
        <w:rPr>
          <w:rFonts w:ascii="仿宋_GB2312" w:hAnsi="仿宋_GB2312" w:cs="仿宋_GB2312" w:eastAsia="仿宋_GB2312"/>
        </w:rPr>
        <w:t>地址：西安经济技术开发区明光路 55 号天朗经开中心 25 层2505室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650,807.90</w:t>
      </w:r>
    </w:p>
    <w:p>
      <w:pPr>
        <w:pStyle w:val="null3"/>
      </w:pPr>
      <w:r>
        <w:rPr>
          <w:rFonts w:ascii="仿宋_GB2312" w:hAnsi="仿宋_GB2312" w:cs="仿宋_GB2312" w:eastAsia="仿宋_GB2312"/>
        </w:rPr>
        <w:t>采购包最高限价（元）: 650,807.90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校园安防水平提升工程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650,807.90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标的名称：校园安防水平提升工程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铜川市红旗街小学校园安防水平提升工程具体内容详见工程量清单。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合同履行期限：</w:t>
            </w:r>
            <w:r>
              <w:rPr>
                <w:rFonts w:ascii="仿宋_GB2312" w:hAnsi="仿宋_GB2312" w:cs="仿宋_GB2312" w:eastAsia="仿宋_GB2312"/>
                <w:sz w:val="15"/>
                <w:color w:val="000000"/>
              </w:rPr>
              <w:t>30个日历日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提供近3年任意一年度经审计的财务报告（内容至少包括资产负债表、利润表、现金流量表及附 注，成立时间至提交投标文件截止时间不足一年的可提供成立后任意时段的资产负债表），或开 标前六个月内银行出具的资信证明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供应商须具备建筑工程施工总承包三级以上（含三级）资质或建筑装修装饰工程专业承包二级以 上（含二级）资质，具有有效的安全生产许可证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证书等级：注册建造师执业资格二级 以上（含二级） 专业：建筑工程 补充说明：同时具备有效的安全生产考核合格证书，且未担任其他在施建设工程项目的项目经理</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提供上一年度至今已缴存的至少一个月的有效社会保障资金缴纳证明。依法不需要缴纳社会保障 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提供近3年任意一年度经审计的财务报告（内容至少包括资产负债表、利润表、现金流量表及附 注，成立时间至提交投标文件截止时间不足一年的可提供成立后任意时段的资产负债表），或开 标前六个月内银行出具的资信证明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 须提供法定代表人身份证明及身份证）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信用中国”网站和“中国政府采购网”为供应商信用信息查询渠道，如果供应商被查实在投标截止 时间前已列入失信被执行人、重大税收违法案件当事人名单、政府采购严重违法失信行为记录名 单，其投标为无效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法定代表人授权书.docx 响应文件封面 项目管理机构组成表 报价函 标的清单 供应商类似项目业绩一览表 响应函 主要人员简历表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1、施工方案详细、合理可行：（4 - 6)分； 2、施工方案基本全面，合理性、可行性一般：（2-4)分； 3 、施工方案不完整，不合理：（0-2)分。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 组成</w:t>
            </w:r>
          </w:p>
        </w:tc>
        <w:tc>
          <w:tcPr>
            <w:tcW w:type="dxa" w:w="2492"/>
          </w:tcPr>
          <w:p>
            <w:pPr>
              <w:pStyle w:val="null3"/>
            </w:pPr>
            <w:r>
              <w:rPr>
                <w:rFonts w:ascii="仿宋_GB2312" w:hAnsi="仿宋_GB2312" w:cs="仿宋_GB2312" w:eastAsia="仿宋_GB2312"/>
              </w:rPr>
              <w:t>1、人员配备合理，完全满足工作 要求：（4-6）分； 2、人员配备较合理，基本满足工作要求：（2-4）分 ; 3、人员配备不满足要求：（0-2)分。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 量的技术组织措施</w:t>
            </w:r>
          </w:p>
        </w:tc>
        <w:tc>
          <w:tcPr>
            <w:tcW w:type="dxa" w:w="2492"/>
          </w:tcPr>
          <w:p>
            <w:pPr>
              <w:pStyle w:val="null3"/>
            </w:pPr>
            <w:r>
              <w:rPr>
                <w:rFonts w:ascii="仿宋_GB2312" w:hAnsi="仿宋_GB2312" w:cs="仿宋_GB2312" w:eastAsia="仿宋_GB2312"/>
              </w:rPr>
              <w:t>1、措施合理，可行性强：（4-6）分； 2、措施较合理，可行性较强 ： ( 2-4）分； 3、措施不合理，可行性较差：（0-2）分。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1、措施合理，可行性强：（4-6）分； 2、措施较合理，可行性较强 ： ( 2-4）分； 3、措施不合理，可行性较差：（0-2）分。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 工的技术措 施及环境保护措施</w:t>
            </w:r>
          </w:p>
        </w:tc>
        <w:tc>
          <w:tcPr>
            <w:tcW w:type="dxa" w:w="2492"/>
          </w:tcPr>
          <w:p>
            <w:pPr>
              <w:pStyle w:val="null3"/>
            </w:pPr>
            <w:r>
              <w:rPr>
                <w:rFonts w:ascii="仿宋_GB2312" w:hAnsi="仿宋_GB2312" w:cs="仿宋_GB2312" w:eastAsia="仿宋_GB2312"/>
              </w:rPr>
              <w:t>1、措施合理，可行性强：（4-6）分； 2、措施较合理，可行性较强 ： ( 2-4）分； 3、措施不合理，可行性较差：（0-2）分。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1、措施合理，可行性强：（4-6）分； 2、措施较合理，可行性较强 ： ( 2-4）分； 3、措施不合理，可行性较差：（0-2）分。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施工机械设备配备计划和劳动力安排计划</w:t>
            </w:r>
          </w:p>
        </w:tc>
        <w:tc>
          <w:tcPr>
            <w:tcW w:type="dxa" w:w="2492"/>
          </w:tcPr>
          <w:p>
            <w:pPr>
              <w:pStyle w:val="null3"/>
            </w:pPr>
            <w:r>
              <w:rPr>
                <w:rFonts w:ascii="仿宋_GB2312" w:hAnsi="仿宋_GB2312" w:cs="仿宋_GB2312" w:eastAsia="仿宋_GB2312"/>
              </w:rPr>
              <w:t>1、劳动力安排及机械设备投入合理、可行：（4-6）分； 2、劳动力 安排 及机械设备投入基本合理可行 ：（2-4）分； 3、劳动力安排及机械设备 投入不合理、有缺漏：（0-2）分。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 或施工网络图</w:t>
            </w:r>
          </w:p>
        </w:tc>
        <w:tc>
          <w:tcPr>
            <w:tcW w:type="dxa" w:w="2492"/>
          </w:tcPr>
          <w:p>
            <w:pPr>
              <w:pStyle w:val="null3"/>
            </w:pPr>
            <w:r>
              <w:rPr>
                <w:rFonts w:ascii="仿宋_GB2312" w:hAnsi="仿宋_GB2312" w:cs="仿宋_GB2312" w:eastAsia="仿宋_GB2312"/>
              </w:rPr>
              <w:t>1、科学合理，可行性强：（4-6）分； 2、较合理，可行性较强：（2- 4 ) 分； 3、不合理，可行性较差：（0-2）分。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施工现场总平面布置图</w:t>
            </w:r>
          </w:p>
        </w:tc>
        <w:tc>
          <w:tcPr>
            <w:tcW w:type="dxa" w:w="2492"/>
          </w:tcPr>
          <w:p>
            <w:pPr>
              <w:pStyle w:val="null3"/>
            </w:pPr>
            <w:r>
              <w:rPr>
                <w:rFonts w:ascii="仿宋_GB2312" w:hAnsi="仿宋_GB2312" w:cs="仿宋_GB2312" w:eastAsia="仿宋_GB2312"/>
              </w:rPr>
              <w:t>1、布置合理，可行性强：（4-6] 分； 2、布置较合理，可行性较强 ：[2- 4]分； 3、布置不合理，可行性较差：[0-2）分。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新技术、新设备、新工艺、新材料应用</w:t>
            </w:r>
          </w:p>
        </w:tc>
        <w:tc>
          <w:tcPr>
            <w:tcW w:type="dxa" w:w="2492"/>
          </w:tcPr>
          <w:p>
            <w:pPr>
              <w:pStyle w:val="null3"/>
            </w:pPr>
            <w:r>
              <w:rPr>
                <w:rFonts w:ascii="仿宋_GB2312" w:hAnsi="仿宋_GB2312" w:cs="仿宋_GB2312" w:eastAsia="仿宋_GB2312"/>
              </w:rPr>
              <w:t>1、科学合理，可行性强：（4-6）分； 2、较合理，可行性较强：（2- 4 ) 分； 3、不合理，可行性较差：（0-2）分。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提供2022年1月1日以后(以合同签订日期为准)同类项目合同,每提供一个得2分，最高得10分。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价格分采用低价优先法计算，即满足磋商文件要求且投标价格最低的投标报价为评审基准价，其价格分为满分30分。其他投标人的价格分统一 按照下列 公式计算：投标报价得分 =（评审基准价/磋商报价） ×价格权值×100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