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版本号：WYZFCG-202500120250630001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教学楼加固维修改造工程</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WYZFCG-2025001</w:t>
      </w:r>
      <w:r>
        <w:br/>
      </w:r>
      <w:r>
        <w:br/>
      </w:r>
      <w:r>
        <w:br/>
      </w:r>
    </w:p>
    <w:p>
      <w:pPr>
        <w:pStyle w:val="null3"/>
        <w:jc w:val="center"/>
        <w:outlineLvl w:val="2"/>
      </w:pPr>
      <w:r>
        <w:rPr>
          <w:rFonts w:ascii="仿宋_GB2312" w:hAnsi="仿宋_GB2312" w:cs="仿宋_GB2312" w:eastAsia="仿宋_GB2312"/>
          <w:sz w:val="28"/>
          <w:b/>
        </w:rPr>
        <w:t>铜川市王益区红旗街幼儿园</w:t>
      </w:r>
    </w:p>
    <w:p>
      <w:pPr>
        <w:pStyle w:val="null3"/>
        <w:jc w:val="center"/>
        <w:outlineLvl w:val="2"/>
      </w:pPr>
      <w:r>
        <w:rPr>
          <w:rFonts w:ascii="仿宋_GB2312" w:hAnsi="仿宋_GB2312" w:cs="仿宋_GB2312" w:eastAsia="仿宋_GB2312"/>
          <w:sz w:val="28"/>
          <w:b/>
        </w:rPr>
        <w:t>铜川市王益区政府采购中心</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2025年06月30日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铜川市王益区政府采购中心</w:t>
      </w:r>
      <w:r>
        <w:rPr>
          <w:rFonts w:ascii="仿宋_GB2312" w:hAnsi="仿宋_GB2312" w:cs="仿宋_GB2312" w:eastAsia="仿宋_GB2312"/>
        </w:rPr>
        <w:t>（以下简称“代理机构”）受</w:t>
      </w:r>
      <w:r>
        <w:rPr>
          <w:rFonts w:ascii="仿宋_GB2312" w:hAnsi="仿宋_GB2312" w:cs="仿宋_GB2312" w:eastAsia="仿宋_GB2312"/>
        </w:rPr>
        <w:t>铜川市王益区红旗街幼儿园</w:t>
      </w:r>
      <w:r>
        <w:rPr>
          <w:rFonts w:ascii="仿宋_GB2312" w:hAnsi="仿宋_GB2312" w:cs="仿宋_GB2312" w:eastAsia="仿宋_GB2312"/>
        </w:rPr>
        <w:t>委托，拟对</w:t>
      </w:r>
      <w:r>
        <w:rPr>
          <w:rFonts w:ascii="仿宋_GB2312" w:hAnsi="仿宋_GB2312" w:cs="仿宋_GB2312" w:eastAsia="仿宋_GB2312"/>
        </w:rPr>
        <w:t>教学楼加固维修改造工程</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WYZFCG-2025001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教学楼加固维修改造工程</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教学楼加固维修改造工程,1项，具体内容详见磋商文件及工程量清单.</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采购包1（教学楼加固维修改造工程）：属于专门面向中小企业采购。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1、营业执照等主体资格证明文件：具有独立承担民事责任的能力，提供法人或者其他组织的营业执照等国家规定的证明文件，自然人参与的提供其身份证明；</w:t>
      </w:r>
    </w:p>
    <w:p>
      <w:pPr>
        <w:pStyle w:val="null3"/>
      </w:pPr>
      <w:r>
        <w:rPr>
          <w:rFonts w:ascii="仿宋_GB2312" w:hAnsi="仿宋_GB2312" w:cs="仿宋_GB2312" w:eastAsia="仿宋_GB2312"/>
        </w:rPr>
        <w:t>2、法定代表人身份证明或法定代表人授权委托书：法定代表人授权书（附法定代表人及被授权人身份证复印件）（如法定代表人直接投标只须提交法定代表人身份证明并附身份证复印件）；</w:t>
      </w:r>
    </w:p>
    <w:p>
      <w:pPr>
        <w:pStyle w:val="null3"/>
      </w:pPr>
      <w:r>
        <w:rPr>
          <w:rFonts w:ascii="仿宋_GB2312" w:hAnsi="仿宋_GB2312" w:cs="仿宋_GB2312" w:eastAsia="仿宋_GB2312"/>
        </w:rPr>
        <w:t>3、财务状况报告：提供2023或2024任一年度经审计的财务审计报告(2025年成立的公司提供成立后企业的资产负债表和利润表），或提供响应文件递交截止之日前近一年内基本存款账户开户银行开具的资信证明；</w:t>
      </w:r>
    </w:p>
    <w:p>
      <w:pPr>
        <w:pStyle w:val="null3"/>
      </w:pPr>
      <w:r>
        <w:rPr>
          <w:rFonts w:ascii="仿宋_GB2312" w:hAnsi="仿宋_GB2312" w:cs="仿宋_GB2312" w:eastAsia="仿宋_GB2312"/>
        </w:rPr>
        <w:t>4、税收缴纳证明：提供2024年06月01日至今任意一个月的缴纳税收的证明材料(依法免税的单位应提供相关证明材料)；</w:t>
      </w:r>
    </w:p>
    <w:p>
      <w:pPr>
        <w:pStyle w:val="null3"/>
      </w:pPr>
      <w:r>
        <w:rPr>
          <w:rFonts w:ascii="仿宋_GB2312" w:hAnsi="仿宋_GB2312" w:cs="仿宋_GB2312" w:eastAsia="仿宋_GB2312"/>
        </w:rPr>
        <w:t>5、社会保障资金缴纳证明：提供2024年06月01日至今任意一个月的依法缴纳社会保障资金的证明材料（依法不需要缴纳社会保障资金的单位应提供相关证明材料）；</w:t>
      </w:r>
    </w:p>
    <w:p>
      <w:pPr>
        <w:pStyle w:val="null3"/>
      </w:pPr>
      <w:r>
        <w:rPr>
          <w:rFonts w:ascii="仿宋_GB2312" w:hAnsi="仿宋_GB2312" w:cs="仿宋_GB2312" w:eastAsia="仿宋_GB2312"/>
        </w:rPr>
        <w:t>6、信用查询：投标供应商不得为“信用中国”网站（www.creditchina.gov.cn）中列入失信被执行人或重大税收违法案件当事人名单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7、履约能力：出具具备履行合同所必需的设备和专业技术能力的书面声明；</w:t>
      </w:r>
    </w:p>
    <w:p>
      <w:pPr>
        <w:pStyle w:val="null3"/>
      </w:pPr>
      <w:r>
        <w:rPr>
          <w:rFonts w:ascii="仿宋_GB2312" w:hAnsi="仿宋_GB2312" w:cs="仿宋_GB2312" w:eastAsia="仿宋_GB2312"/>
        </w:rPr>
        <w:t>8、无重大违法记录：参加政府采购活动前3年内，在经营活动中没有重大违法记录（提供书面声明函）;</w:t>
      </w:r>
    </w:p>
    <w:p>
      <w:pPr>
        <w:pStyle w:val="null3"/>
      </w:pPr>
      <w:r>
        <w:rPr>
          <w:rFonts w:ascii="仿宋_GB2312" w:hAnsi="仿宋_GB2312" w:cs="仿宋_GB2312" w:eastAsia="仿宋_GB2312"/>
        </w:rPr>
        <w:t>9、企业关联关系：单位负责人为同一人或者存在直接控股、管理关系的不同供应商不得同时参加本项目磋商；</w:t>
      </w:r>
    </w:p>
    <w:p>
      <w:pPr>
        <w:pStyle w:val="null3"/>
      </w:pPr>
      <w:r>
        <w:rPr>
          <w:rFonts w:ascii="仿宋_GB2312" w:hAnsi="仿宋_GB2312" w:cs="仿宋_GB2312" w:eastAsia="仿宋_GB2312"/>
        </w:rPr>
        <w:t>10、企业资质：①具有建筑工程施工总承包二级及以上（含二级）资质，或建筑装修装饰工程专业承包二级及以上（含二级）资质；②并具有有效的安全生产许可证；</w:t>
      </w:r>
    </w:p>
    <w:p>
      <w:pPr>
        <w:pStyle w:val="null3"/>
      </w:pPr>
      <w:r>
        <w:rPr>
          <w:rFonts w:ascii="仿宋_GB2312" w:hAnsi="仿宋_GB2312" w:cs="仿宋_GB2312" w:eastAsia="仿宋_GB2312"/>
        </w:rPr>
        <w:t>11、拟派项目负责人资质和专业要求：拟派项目经理需具备建筑工程专业二级及以上（含二级）注册建造师资格，具备有效的安全生产考核合格证（B证）， 本单位注册，且无其他在建工程（提供无在建承诺）。</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铜川市王益区红旗街幼儿园</w:t>
      </w:r>
    </w:p>
    <w:p>
      <w:pPr>
        <w:pStyle w:val="null3"/>
      </w:pPr>
      <w:r>
        <w:rPr>
          <w:rFonts w:ascii="仿宋_GB2312" w:hAnsi="仿宋_GB2312" w:cs="仿宋_GB2312" w:eastAsia="仿宋_GB2312"/>
        </w:rPr>
        <w:t xml:space="preserve"> 地址： </w:t>
      </w:r>
      <w:r>
        <w:rPr>
          <w:rFonts w:ascii="仿宋_GB2312" w:hAnsi="仿宋_GB2312" w:cs="仿宋_GB2312" w:eastAsia="仿宋_GB2312"/>
        </w:rPr>
        <w:t>铜川市王益区红旗街育才路香坊巷1号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727099</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13636867431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铜川市王益区政府采购中心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铜川市王益区七一路原国税局家属院</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吴喜玲</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13909194719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铜川市王益区政府采购管理股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段鹏</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0919-2582209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采购包1：838,403.20元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本项目不收取代理服务费</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铜川市王益区红旗街幼儿园</w:t>
      </w:r>
      <w:r>
        <w:rPr>
          <w:rFonts w:ascii="仿宋_GB2312" w:hAnsi="仿宋_GB2312" w:cs="仿宋_GB2312" w:eastAsia="仿宋_GB2312"/>
        </w:rPr>
        <w:t>和</w:t>
      </w:r>
      <w:r>
        <w:rPr>
          <w:rFonts w:ascii="仿宋_GB2312" w:hAnsi="仿宋_GB2312" w:cs="仿宋_GB2312" w:eastAsia="仿宋_GB2312"/>
        </w:rPr>
        <w:t>铜川市王益区政府采购中心</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铜川市王益区红旗街幼儿园</w:t>
      </w:r>
      <w:r>
        <w:rPr>
          <w:rFonts w:ascii="仿宋_GB2312" w:hAnsi="仿宋_GB2312" w:cs="仿宋_GB2312" w:eastAsia="仿宋_GB2312"/>
        </w:rPr>
        <w:t>负责解释。除上述磋商文件内容，其他内容由</w:t>
      </w:r>
      <w:r>
        <w:rPr>
          <w:rFonts w:ascii="仿宋_GB2312" w:hAnsi="仿宋_GB2312" w:cs="仿宋_GB2312" w:eastAsia="仿宋_GB2312"/>
        </w:rPr>
        <w:t>铜川市王益区政府采购中心</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铜川市王益区红旗街幼儿园</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铜川市王益区政府采购中心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 验收组织方式： 自行验收；2） 是否邀请本项目的其他供应商： 否；3） 是否邀请专家： 否；4） 是否邀请服务对象： 是；5） 是否邀请第三方检测机构： 否；6） 履约验收程序： 一次性验收；7） 履约验收时间： 供应商提出验收申请之日起7日内组织验收；8）验收标准：质量必须达到国家及行业现行技术规范标准，符合国家及行业施工验收规范合格标准，并满足采购人要求。</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铜川市王益区政府采购中心</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铜川市王益区政府采购中心</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铜川市王益区政府采购中心</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联系人：吴喜玲</w:t>
      </w:r>
    </w:p>
    <w:p>
      <w:pPr>
        <w:pStyle w:val="null3"/>
      </w:pPr>
      <w:r>
        <w:rPr>
          <w:rFonts w:ascii="仿宋_GB2312" w:hAnsi="仿宋_GB2312" w:cs="仿宋_GB2312" w:eastAsia="仿宋_GB2312"/>
        </w:rPr>
        <w:t>联系电话：13909194719</w:t>
      </w:r>
    </w:p>
    <w:p>
      <w:pPr>
        <w:pStyle w:val="null3"/>
      </w:pPr>
      <w:r>
        <w:rPr>
          <w:rFonts w:ascii="仿宋_GB2312" w:hAnsi="仿宋_GB2312" w:cs="仿宋_GB2312" w:eastAsia="仿宋_GB2312"/>
        </w:rPr>
        <w:t>地址：铜川市王益区七一路原国税局家属院</w:t>
      </w:r>
    </w:p>
    <w:p>
      <w:pPr>
        <w:pStyle w:val="null3"/>
      </w:pPr>
      <w:r>
        <w:rPr>
          <w:rFonts w:ascii="仿宋_GB2312" w:hAnsi="仿宋_GB2312" w:cs="仿宋_GB2312" w:eastAsia="仿宋_GB2312"/>
        </w:rPr>
        <w:t>邮编：727000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838,403.20</w:t>
      </w:r>
    </w:p>
    <w:p>
      <w:pPr>
        <w:pStyle w:val="null3"/>
      </w:pPr>
      <w:r>
        <w:rPr>
          <w:rFonts w:ascii="仿宋_GB2312" w:hAnsi="仿宋_GB2312" w:cs="仿宋_GB2312" w:eastAsia="仿宋_GB2312"/>
        </w:rPr>
        <w:t>采购包最高限价（元）: 838,403.20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838403.2</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838,403.20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标的名称：838403.2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2"/>
              </w:rPr>
              <w:t>具体工程内容详见工程量清单（附件）。</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ind w:firstLine="241"/>
            </w:pPr>
            <w:r>
              <w:rPr>
                <w:rFonts w:ascii="仿宋_GB2312" w:hAnsi="仿宋_GB2312" w:cs="仿宋_GB2312" w:eastAsia="仿宋_GB2312"/>
                <w:sz w:val="21"/>
              </w:rPr>
              <w:t xml:space="preserve">一、项目背景 </w:t>
            </w:r>
          </w:p>
          <w:p>
            <w:pPr>
              <w:pStyle w:val="null3"/>
              <w:ind w:firstLine="241"/>
            </w:pPr>
            <w:r>
              <w:rPr>
                <w:rFonts w:ascii="仿宋_GB2312" w:hAnsi="仿宋_GB2312" w:cs="仿宋_GB2312" w:eastAsia="仿宋_GB2312"/>
                <w:sz w:val="21"/>
              </w:rPr>
              <w:t>随着社会的发展和家庭结构的变化,越来越多的家长选择把孩子送到幼儿园接受托育服务。为了满足家长的需求，为了提供更高质量的教育环境和更多的教育资源，决定对幼儿园进行改建。在改善幼儿园的教育设施和环境的同时，以提供更好的托育环境和教育资源。</w:t>
            </w:r>
          </w:p>
          <w:p>
            <w:pPr>
              <w:pStyle w:val="null3"/>
              <w:ind w:firstLine="241"/>
            </w:pPr>
            <w:r>
              <w:rPr>
                <w:rFonts w:ascii="仿宋_GB2312" w:hAnsi="仿宋_GB2312" w:cs="仿宋_GB2312" w:eastAsia="仿宋_GB2312"/>
                <w:sz w:val="21"/>
              </w:rPr>
              <w:t>二、目标任务</w:t>
            </w:r>
          </w:p>
          <w:p>
            <w:pPr>
              <w:pStyle w:val="null3"/>
              <w:ind w:firstLine="241"/>
            </w:pPr>
            <w:r>
              <w:rPr>
                <w:rFonts w:ascii="仿宋_GB2312" w:hAnsi="仿宋_GB2312" w:cs="仿宋_GB2312" w:eastAsia="仿宋_GB2312"/>
                <w:sz w:val="21"/>
              </w:rPr>
              <w:t>优化配套设施:通过政策扶持，整合多方力量，加快幼儿园教育配套设施的完善，让孩子享受更好的教学环境。</w:t>
            </w:r>
            <w:r>
              <w:br/>
            </w:r>
            <w:r>
              <w:rPr>
                <w:rFonts w:ascii="仿宋_GB2312" w:hAnsi="仿宋_GB2312" w:cs="仿宋_GB2312" w:eastAsia="仿宋_GB2312"/>
                <w:sz w:val="21"/>
              </w:rPr>
              <w:t xml:space="preserve"> 加强安全管理:加大安全管理力度，整合并优化幼儿园安全防范体系，提高孩子的人身安全水平。</w:t>
            </w:r>
          </w:p>
          <w:p>
            <w:pPr>
              <w:pStyle w:val="null3"/>
              <w:ind w:firstLine="241"/>
            </w:pPr>
            <w:r>
              <w:rPr>
                <w:rFonts w:ascii="仿宋_GB2312" w:hAnsi="仿宋_GB2312" w:cs="仿宋_GB2312" w:eastAsia="仿宋_GB2312"/>
                <w:sz w:val="21"/>
              </w:rPr>
              <w:t>三、工期目标</w:t>
            </w:r>
          </w:p>
          <w:p>
            <w:pPr>
              <w:pStyle w:val="null3"/>
              <w:ind w:firstLine="241"/>
            </w:pPr>
            <w:r>
              <w:rPr>
                <w:rFonts w:ascii="仿宋_GB2312" w:hAnsi="仿宋_GB2312" w:cs="仿宋_GB2312" w:eastAsia="仿宋_GB2312"/>
                <w:sz w:val="21"/>
              </w:rPr>
              <w:t>本项目工期目标45日历天。</w:t>
            </w:r>
          </w:p>
          <w:p>
            <w:pPr>
              <w:pStyle w:val="null3"/>
              <w:ind w:firstLine="241"/>
            </w:pPr>
            <w:r>
              <w:rPr>
                <w:rFonts w:ascii="仿宋_GB2312" w:hAnsi="仿宋_GB2312" w:cs="仿宋_GB2312" w:eastAsia="仿宋_GB2312"/>
                <w:sz w:val="21"/>
              </w:rPr>
              <w:t>各单位针对本项目的实际情况,编制施工进度计划,合理安排施工,确保本工程工期目标的实现.</w:t>
            </w:r>
          </w:p>
          <w:p>
            <w:pPr>
              <w:pStyle w:val="null3"/>
              <w:ind w:firstLine="241"/>
            </w:pPr>
            <w:r>
              <w:rPr>
                <w:rFonts w:ascii="仿宋_GB2312" w:hAnsi="仿宋_GB2312" w:cs="仿宋_GB2312" w:eastAsia="仿宋_GB2312"/>
                <w:sz w:val="21"/>
              </w:rPr>
              <w:t>四、质量目标：</w:t>
            </w:r>
            <w:r>
              <w:rPr>
                <w:rFonts w:ascii="仿宋_GB2312" w:hAnsi="仿宋_GB2312" w:cs="仿宋_GB2312" w:eastAsia="仿宋_GB2312"/>
                <w:sz w:val="21"/>
                <w:color w:val="000000"/>
              </w:rPr>
              <w:t>质量必须达到国家及行业现行技术规范标准，符合国家及行业施工验收规范合格标准，并满足采购人要求。以及竞争性磋商文件规定的强制性质量和安全标准要求。</w:t>
            </w:r>
          </w:p>
          <w:p>
            <w:pPr>
              <w:pStyle w:val="null3"/>
              <w:ind w:firstLine="240"/>
            </w:pPr>
            <w:r>
              <w:rPr>
                <w:rFonts w:ascii="仿宋_GB2312" w:hAnsi="仿宋_GB2312" w:cs="仿宋_GB2312" w:eastAsia="仿宋_GB2312"/>
                <w:sz w:val="21"/>
              </w:rPr>
              <w:t>五、安全目标：杜绝因施工造成的人员死亡及重伤事故，无机械设备、火灾、重大器材设备被盗等重大安全事故。</w:t>
            </w:r>
          </w:p>
          <w:p>
            <w:pPr>
              <w:pStyle w:val="null3"/>
              <w:ind w:firstLine="240"/>
            </w:pPr>
            <w:r>
              <w:rPr>
                <w:rFonts w:ascii="仿宋_GB2312" w:hAnsi="仿宋_GB2312" w:cs="仿宋_GB2312" w:eastAsia="仿宋_GB2312"/>
                <w:sz w:val="21"/>
              </w:rPr>
              <w:t>六、文明施工目标</w:t>
            </w:r>
            <w:r>
              <w:br/>
            </w:r>
            <w:r>
              <w:rPr>
                <w:rFonts w:ascii="仿宋_GB2312" w:hAnsi="仿宋_GB2312" w:cs="仿宋_GB2312" w:eastAsia="仿宋_GB2312"/>
                <w:sz w:val="21"/>
              </w:rPr>
              <w:t xml:space="preserve">  严格按铜川市当地上级有关部门的文明施工管理规定组织施工，加强工程情况宣传，加强与政府部门及沿线人民群众的理解与支持，争创安全文明工地。</w:t>
            </w:r>
            <w:r>
              <w:br/>
            </w:r>
            <w:r>
              <w:rPr>
                <w:rFonts w:ascii="仿宋_GB2312" w:hAnsi="仿宋_GB2312" w:cs="仿宋_GB2312" w:eastAsia="仿宋_GB2312"/>
                <w:sz w:val="21"/>
              </w:rPr>
              <w:t xml:space="preserve">  七、环保目标</w:t>
            </w:r>
            <w:r>
              <w:br/>
            </w:r>
            <w:r>
              <w:rPr>
                <w:rFonts w:ascii="仿宋_GB2312" w:hAnsi="仿宋_GB2312" w:cs="仿宋_GB2312" w:eastAsia="仿宋_GB2312"/>
                <w:sz w:val="21"/>
              </w:rPr>
              <w:t xml:space="preserve">   确保无等级环保污染事故。</w:t>
            </w:r>
          </w:p>
          <w:p>
            <w:pPr>
              <w:pStyle w:val="null3"/>
            </w:pPr>
            <w:r>
              <w:rPr>
                <w:rFonts w:ascii="仿宋_GB2312" w:hAnsi="仿宋_GB2312" w:cs="仿宋_GB2312" w:eastAsia="仿宋_GB2312"/>
                <w:sz w:val="21"/>
                <w:b/>
                <w:color w:val="000000"/>
              </w:rPr>
              <w:t>八、技术标准和要求</w:t>
            </w:r>
          </w:p>
          <w:p>
            <w:pPr>
              <w:pStyle w:val="null3"/>
              <w:ind w:firstLine="240"/>
            </w:pPr>
            <w:r>
              <w:rPr>
                <w:rFonts w:ascii="仿宋_GB2312" w:hAnsi="仿宋_GB2312" w:cs="仿宋_GB2312" w:eastAsia="仿宋_GB2312"/>
                <w:sz w:val="21"/>
                <w:color w:val="000000"/>
              </w:rPr>
              <w:t>1.</w:t>
            </w:r>
            <w:r>
              <w:rPr>
                <w:rFonts w:ascii="仿宋_GB2312" w:hAnsi="仿宋_GB2312" w:cs="仿宋_GB2312" w:eastAsia="仿宋_GB2312"/>
                <w:sz w:val="21"/>
                <w:color w:val="000000"/>
              </w:rPr>
              <w:t>本工程的施工过程和成果必须符合国家有关工程建设标准强制性条文和国家或有关部门关于工程施工方面现行的标准、规范、规程、定额、办法、示例，以及陕西省关于工程施工方面的文件、规定。</w:t>
            </w:r>
          </w:p>
          <w:p>
            <w:pPr>
              <w:pStyle w:val="null3"/>
              <w:ind w:firstLine="240"/>
            </w:pPr>
            <w:r>
              <w:rPr>
                <w:rFonts w:ascii="仿宋_GB2312" w:hAnsi="仿宋_GB2312" w:cs="仿宋_GB2312" w:eastAsia="仿宋_GB2312"/>
                <w:sz w:val="21"/>
                <w:color w:val="000000"/>
              </w:rPr>
              <w:t>2.</w:t>
            </w:r>
            <w:r>
              <w:rPr>
                <w:rFonts w:ascii="仿宋_GB2312" w:hAnsi="仿宋_GB2312" w:cs="仿宋_GB2312" w:eastAsia="仿宋_GB2312"/>
                <w:sz w:val="21"/>
                <w:color w:val="000000"/>
              </w:rPr>
              <w:t>供应商在施工过程中使用或参考上述标准、规范以外的技术标准、规范时，应征得采购人的同意。</w:t>
            </w:r>
          </w:p>
          <w:p>
            <w:pPr>
              <w:pStyle w:val="null3"/>
              <w:ind w:firstLine="240"/>
            </w:pPr>
            <w:r>
              <w:rPr>
                <w:rFonts w:ascii="仿宋_GB2312" w:hAnsi="仿宋_GB2312" w:cs="仿宋_GB2312" w:eastAsia="仿宋_GB2312"/>
                <w:sz w:val="21"/>
                <w:color w:val="000000"/>
              </w:rPr>
              <w:t>3.</w:t>
            </w:r>
            <w:r>
              <w:rPr>
                <w:rFonts w:ascii="仿宋_GB2312" w:hAnsi="仿宋_GB2312" w:cs="仿宋_GB2312" w:eastAsia="仿宋_GB2312"/>
                <w:sz w:val="21"/>
                <w:color w:val="000000"/>
              </w:rPr>
              <w:t>在施工过程中，如果国家或有关部门颁布了新的技术标准或规范，则承包人应采用新的标准或规范进行施工。</w:t>
            </w:r>
          </w:p>
          <w:p>
            <w:pPr>
              <w:pStyle w:val="null3"/>
              <w:ind w:firstLine="240"/>
            </w:pPr>
            <w:r>
              <w:rPr>
                <w:rFonts w:ascii="仿宋_GB2312" w:hAnsi="仿宋_GB2312" w:cs="仿宋_GB2312" w:eastAsia="仿宋_GB2312"/>
                <w:sz w:val="21"/>
                <w:color w:val="000000"/>
              </w:rPr>
              <w:t>4.</w:t>
            </w:r>
            <w:r>
              <w:rPr>
                <w:rFonts w:ascii="仿宋_GB2312" w:hAnsi="仿宋_GB2312" w:cs="仿宋_GB2312" w:eastAsia="仿宋_GB2312"/>
                <w:sz w:val="21"/>
                <w:color w:val="000000"/>
              </w:rPr>
              <w:t>供应商应先充分了解工地位置、地质情况、进出场道路、拆迁干扰、储存空间、运输能力、装卸限制、行车干扰及任何其它足以影响承包价格的情况，了解设计施工规范、标准以及施工现场实际等情况，并应考虑现有人、材、机市场水平和供应、投标风险、不利的施工因素等，任何因忽视或误解工地情况而导致的索赔或工期延长申请将不获批准。</w:t>
            </w:r>
          </w:p>
          <w:p>
            <w:pPr>
              <w:pStyle w:val="null3"/>
              <w:ind w:firstLine="240"/>
            </w:pPr>
            <w:r>
              <w:rPr>
                <w:rFonts w:ascii="仿宋_GB2312" w:hAnsi="仿宋_GB2312" w:cs="仿宋_GB2312" w:eastAsia="仿宋_GB2312"/>
                <w:sz w:val="21"/>
                <w:color w:val="000000"/>
              </w:rPr>
              <w:t>5.</w:t>
            </w:r>
            <w:r>
              <w:rPr>
                <w:rFonts w:ascii="仿宋_GB2312" w:hAnsi="仿宋_GB2312" w:cs="仿宋_GB2312" w:eastAsia="仿宋_GB2312"/>
                <w:sz w:val="21"/>
                <w:color w:val="000000"/>
              </w:rPr>
              <w:t>供应商所提供的材料如需向第三方外购时，供应商应对质量负责，并提供相应的出厂和验收证明及相关技术文件。同时，还应满足本磋商文件、工程量清单、施工图纸中的相关技术要求。</w:t>
            </w:r>
          </w:p>
          <w:p>
            <w:pPr>
              <w:pStyle w:val="null3"/>
              <w:ind w:firstLine="240"/>
            </w:pPr>
            <w:r>
              <w:rPr>
                <w:rFonts w:ascii="仿宋_GB2312" w:hAnsi="仿宋_GB2312" w:cs="仿宋_GB2312" w:eastAsia="仿宋_GB2312"/>
                <w:sz w:val="21"/>
                <w:color w:val="000000"/>
              </w:rPr>
              <w:t>6.</w:t>
            </w:r>
            <w:r>
              <w:rPr>
                <w:rFonts w:ascii="仿宋_GB2312" w:hAnsi="仿宋_GB2312" w:cs="仿宋_GB2312" w:eastAsia="仿宋_GB2312"/>
                <w:sz w:val="21"/>
                <w:color w:val="000000"/>
              </w:rPr>
              <w:t>质量必须达到国家及行业现行技术规范标准，符合国家及行业施工验收规范合格标准，并满足采购人要求。以及竞争性磋商文件规定的强制性质量和安全标准要求。</w:t>
            </w:r>
          </w:p>
          <w:p>
            <w:pPr>
              <w:pStyle w:val="null3"/>
              <w:ind w:firstLine="240"/>
            </w:pPr>
            <w:r>
              <w:rPr>
                <w:rFonts w:ascii="仿宋_GB2312" w:hAnsi="仿宋_GB2312" w:cs="仿宋_GB2312" w:eastAsia="仿宋_GB2312"/>
                <w:sz w:val="21"/>
                <w:color w:val="000000"/>
              </w:rPr>
              <w:t>7.</w:t>
            </w:r>
            <w:r>
              <w:rPr>
                <w:rFonts w:ascii="仿宋_GB2312" w:hAnsi="仿宋_GB2312" w:cs="仿宋_GB2312" w:eastAsia="仿宋_GB2312"/>
                <w:sz w:val="21"/>
                <w:color w:val="000000"/>
              </w:rPr>
              <w:t>供应商成交后，磋商响应文件中拟派项目经理必须与施工时实际委派项目经理一致，采购人将在签署施工合同前查验项目经理相关资质、身份材料以及成交供应商为项目经理缴纳社保的缴费凭据。项目经理必须履职尽责，全程参与施工、例会、解决施工中的问题，严禁挂名挂证。</w:t>
            </w:r>
          </w:p>
          <w:p>
            <w:pPr>
              <w:pStyle w:val="null3"/>
              <w:ind w:firstLine="240"/>
            </w:pPr>
            <w:r>
              <w:rPr>
                <w:rFonts w:ascii="仿宋_GB2312" w:hAnsi="仿宋_GB2312" w:cs="仿宋_GB2312" w:eastAsia="仿宋_GB2312"/>
                <w:sz w:val="21"/>
                <w:color w:val="000000"/>
              </w:rPr>
              <w:t>8.</w:t>
            </w:r>
            <w:r>
              <w:rPr>
                <w:rFonts w:ascii="仿宋_GB2312" w:hAnsi="仿宋_GB2312" w:cs="仿宋_GB2312" w:eastAsia="仿宋_GB2312"/>
                <w:sz w:val="21"/>
                <w:color w:val="000000"/>
              </w:rPr>
              <w:t>本项目如涉及与政府部门（包含且不限于）环保、城管、规划等沟通协调或办理手续，费用及手续办理均由承包人负责，如因沟通协调及办理手续原因造成工期延误或费用增加等由承包人负责。</w:t>
            </w:r>
          </w:p>
          <w:p>
            <w:pPr>
              <w:pStyle w:val="null3"/>
              <w:ind w:firstLine="240"/>
            </w:pPr>
            <w:r>
              <w:rPr>
                <w:rFonts w:ascii="仿宋_GB2312" w:hAnsi="仿宋_GB2312" w:cs="仿宋_GB2312" w:eastAsia="仿宋_GB2312"/>
                <w:sz w:val="21"/>
                <w:color w:val="000000"/>
              </w:rPr>
              <w:t>9.</w:t>
            </w:r>
            <w:r>
              <w:rPr>
                <w:rFonts w:ascii="仿宋_GB2312" w:hAnsi="仿宋_GB2312" w:cs="仿宋_GB2312" w:eastAsia="仿宋_GB2312"/>
                <w:sz w:val="21"/>
                <w:color w:val="000000"/>
              </w:rPr>
              <w:t>施工过程中，供应商应制定详细可行的防污降噪处理措施，减少对周围环境的影响，每天施工结束后对施工现场进行清扫。</w:t>
            </w:r>
          </w:p>
          <w:p>
            <w:pPr>
              <w:pStyle w:val="null3"/>
              <w:ind w:firstLine="240"/>
            </w:pPr>
            <w:r>
              <w:rPr>
                <w:rFonts w:ascii="仿宋_GB2312" w:hAnsi="仿宋_GB2312" w:cs="仿宋_GB2312" w:eastAsia="仿宋_GB2312"/>
                <w:sz w:val="21"/>
                <w:color w:val="000000"/>
              </w:rPr>
              <w:t>10.</w:t>
            </w:r>
            <w:r>
              <w:rPr>
                <w:rFonts w:ascii="仿宋_GB2312" w:hAnsi="仿宋_GB2312" w:cs="仿宋_GB2312" w:eastAsia="仿宋_GB2312"/>
                <w:sz w:val="21"/>
                <w:color w:val="000000"/>
              </w:rPr>
              <w:t>承包人不得将其承包的工程转包给他人，也不得将其承包的工程以分包的名义转包给他人。</w:t>
            </w:r>
          </w:p>
          <w:p>
            <w:pPr>
              <w:pStyle w:val="null3"/>
              <w:ind w:firstLine="240"/>
            </w:pPr>
            <w:r>
              <w:rPr>
                <w:rFonts w:ascii="仿宋_GB2312" w:hAnsi="仿宋_GB2312" w:cs="仿宋_GB2312" w:eastAsia="仿宋_GB2312"/>
                <w:sz w:val="21"/>
              </w:rPr>
              <w:t>11.为了确保工程建设的工程质量，防范和化解工程建设中的违法违规行为，应严格按照《陕西省建设工程工程量清单计价规范》及相关法律法规的规定，并结合本工程项目特点编制项目的实施方案和响应文件、备案和接受行政监督部门的监督。</w:t>
            </w:r>
          </w:p>
          <w:p>
            <w:pPr>
              <w:pStyle w:val="null3"/>
              <w:ind w:firstLine="240"/>
            </w:pPr>
            <w:r>
              <w:rPr>
                <w:rFonts w:ascii="仿宋_GB2312" w:hAnsi="仿宋_GB2312" w:cs="仿宋_GB2312" w:eastAsia="仿宋_GB2312"/>
                <w:sz w:val="21"/>
              </w:rPr>
              <w:t>12.成交供应商负责支付拟派往本项目的所有人员的工资，为派往本项目的人员购买相关保险。</w:t>
            </w:r>
          </w:p>
          <w:p>
            <w:pPr>
              <w:pStyle w:val="null3"/>
              <w:ind w:firstLine="240"/>
            </w:pPr>
            <w:r>
              <w:rPr>
                <w:rFonts w:ascii="仿宋_GB2312" w:hAnsi="仿宋_GB2312" w:cs="仿宋_GB2312" w:eastAsia="仿宋_GB2312"/>
                <w:sz w:val="21"/>
              </w:rPr>
              <w:t>13.本项目 缺陷责任期为一年。</w:t>
            </w:r>
          </w:p>
          <w:p>
            <w:pPr>
              <w:pStyle w:val="null3"/>
              <w:ind w:firstLine="241"/>
            </w:pPr>
            <w:r>
              <w:rPr>
                <w:rFonts w:ascii="仿宋_GB2312" w:hAnsi="仿宋_GB2312" w:cs="仿宋_GB2312" w:eastAsia="仿宋_GB2312"/>
                <w:sz w:val="21"/>
                <w:b/>
                <w:color w:val="000000"/>
              </w:rPr>
              <w:t>九、本工程合同形式为固定综合单价合同。</w:t>
            </w:r>
          </w:p>
          <w:p>
            <w:pPr>
              <w:pStyle w:val="null3"/>
              <w:ind w:firstLine="240"/>
            </w:pPr>
            <w:r>
              <w:rPr>
                <w:rFonts w:ascii="仿宋_GB2312" w:hAnsi="仿宋_GB2312" w:cs="仿宋_GB2312" w:eastAsia="仿宋_GB2312"/>
                <w:sz w:val="21"/>
                <w:color w:val="000000"/>
              </w:rPr>
              <w:t>1.</w:t>
            </w:r>
            <w:r>
              <w:rPr>
                <w:rFonts w:ascii="仿宋_GB2312" w:hAnsi="仿宋_GB2312" w:cs="仿宋_GB2312" w:eastAsia="仿宋_GB2312"/>
                <w:sz w:val="21"/>
                <w:color w:val="000000"/>
              </w:rPr>
              <w:t>本工程计价采用固定综合单价，各供应商依据企业自身情况自主报价、风险自负。所有投标报价中的单价和合价均以人民币表示。</w:t>
            </w:r>
          </w:p>
          <w:p>
            <w:pPr>
              <w:pStyle w:val="null3"/>
              <w:ind w:firstLine="240"/>
            </w:pPr>
            <w:r>
              <w:rPr>
                <w:rFonts w:ascii="仿宋_GB2312" w:hAnsi="仿宋_GB2312" w:cs="仿宋_GB2312" w:eastAsia="仿宋_GB2312"/>
                <w:sz w:val="21"/>
                <w:color w:val="000000"/>
              </w:rPr>
              <w:t>2.</w:t>
            </w:r>
            <w:r>
              <w:rPr>
                <w:rFonts w:ascii="仿宋_GB2312" w:hAnsi="仿宋_GB2312" w:cs="仿宋_GB2312" w:eastAsia="仿宋_GB2312"/>
                <w:sz w:val="21"/>
                <w:color w:val="000000"/>
              </w:rPr>
              <w:t>各供应商对分部分项工程费、措施项目费、其他项目费等进行自主报价、风险自负。</w:t>
            </w:r>
          </w:p>
          <w:p>
            <w:pPr>
              <w:pStyle w:val="null3"/>
              <w:ind w:firstLine="240"/>
            </w:pPr>
            <w:r>
              <w:rPr>
                <w:rFonts w:ascii="仿宋_GB2312" w:hAnsi="仿宋_GB2312" w:cs="仿宋_GB2312" w:eastAsia="仿宋_GB2312"/>
                <w:sz w:val="21"/>
                <w:color w:val="000000"/>
              </w:rPr>
              <w:t>3.</w:t>
            </w:r>
            <w:r>
              <w:rPr>
                <w:rFonts w:ascii="仿宋_GB2312" w:hAnsi="仿宋_GB2312" w:cs="仿宋_GB2312" w:eastAsia="仿宋_GB2312"/>
                <w:sz w:val="21"/>
                <w:color w:val="000000"/>
              </w:rPr>
              <w:t>招标工程量清单的工程项目仅表达了主要工程做法，报价时各投标单位应依据图纸、相关图集，结合磋商文件、合同条款、技术规范及现场情况进行科学合理组价。投标报价应包括该工程项目的人工费、材料费、机械费、措施费、管理费、利润、风险费及规费、税金等政策性文件规定的所有费用，所投标的综合单价采购人视为是相应清单项在招标范围内的全部内容价格。</w:t>
            </w:r>
          </w:p>
          <w:p>
            <w:pPr>
              <w:pStyle w:val="null3"/>
            </w:pPr>
            <w:r>
              <w:rPr>
                <w:rFonts w:ascii="仿宋_GB2312" w:hAnsi="仿宋_GB2312" w:cs="仿宋_GB2312" w:eastAsia="仿宋_GB2312"/>
                <w:sz w:val="21"/>
                <w:color w:val="000000"/>
              </w:rPr>
              <w:t xml:space="preserve"> 4.</w:t>
            </w:r>
            <w:r>
              <w:rPr>
                <w:rFonts w:ascii="仿宋_GB2312" w:hAnsi="仿宋_GB2312" w:cs="仿宋_GB2312" w:eastAsia="仿宋_GB2312"/>
                <w:sz w:val="21"/>
                <w:color w:val="000000"/>
              </w:rPr>
              <w:t>供应商在投标截止前修改投标函中的投标总报价，应同时修改“已标价工程量清单”中的相应报价。</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ind w:firstLine="425"/>
              <w:jc w:val="both"/>
            </w:pPr>
            <w:r>
              <w:rPr>
                <w:rFonts w:ascii="仿宋_GB2312" w:hAnsi="仿宋_GB2312" w:cs="仿宋_GB2312" w:eastAsia="仿宋_GB2312"/>
                <w:sz w:val="24"/>
              </w:rPr>
              <w:t>施工要求：</w:t>
            </w:r>
          </w:p>
          <w:p>
            <w:pPr>
              <w:pStyle w:val="null3"/>
              <w:ind w:firstLine="425"/>
              <w:jc w:val="both"/>
            </w:pPr>
            <w:r>
              <w:rPr>
                <w:rFonts w:ascii="仿宋_GB2312" w:hAnsi="仿宋_GB2312" w:cs="仿宋_GB2312" w:eastAsia="仿宋_GB2312"/>
                <w:sz w:val="24"/>
              </w:rPr>
              <w:t>1</w:t>
            </w:r>
            <w:r>
              <w:rPr>
                <w:rFonts w:ascii="仿宋_GB2312" w:hAnsi="仿宋_GB2312" w:cs="仿宋_GB2312" w:eastAsia="仿宋_GB2312"/>
                <w:sz w:val="24"/>
              </w:rPr>
              <w:t>、成交人在施工期间应严格遵守国家、省、市有关防火、爆破和施工安全以及文明施工、深夜施工、环卫和城管等规定，建立规章制度和防护措施</w:t>
            </w:r>
            <w:r>
              <w:rPr>
                <w:rFonts w:ascii="仿宋_GB2312" w:hAnsi="仿宋_GB2312" w:cs="仿宋_GB2312" w:eastAsia="仿宋_GB2312"/>
                <w:sz w:val="24"/>
              </w:rPr>
              <w:t xml:space="preserve">, </w:t>
            </w:r>
            <w:r>
              <w:rPr>
                <w:rFonts w:ascii="仿宋_GB2312" w:hAnsi="仿宋_GB2312" w:cs="仿宋_GB2312" w:eastAsia="仿宋_GB2312"/>
                <w:sz w:val="24"/>
              </w:rPr>
              <w:t>应按安全施工的要求，采取严格科学的安全措施，确保施工安全和第三者的安全，确保工程质量和生产安全。否则，由此造成的经济和法律责任均由成交人负责。</w:t>
            </w:r>
          </w:p>
          <w:p>
            <w:pPr>
              <w:pStyle w:val="null3"/>
              <w:ind w:firstLine="425"/>
              <w:jc w:val="both"/>
            </w:pPr>
            <w:r>
              <w:rPr>
                <w:rFonts w:ascii="仿宋_GB2312" w:hAnsi="仿宋_GB2312" w:cs="仿宋_GB2312" w:eastAsia="仿宋_GB2312"/>
                <w:sz w:val="24"/>
              </w:rPr>
              <w:t>2</w:t>
            </w:r>
            <w:r>
              <w:rPr>
                <w:rFonts w:ascii="仿宋_GB2312" w:hAnsi="仿宋_GB2312" w:cs="仿宋_GB2312" w:eastAsia="仿宋_GB2312"/>
                <w:sz w:val="24"/>
              </w:rPr>
              <w:t>、成交人应配合项目建设进度</w:t>
            </w:r>
            <w:r>
              <w:rPr>
                <w:rFonts w:ascii="仿宋_GB2312" w:hAnsi="仿宋_GB2312" w:cs="仿宋_GB2312" w:eastAsia="仿宋_GB2312"/>
                <w:sz w:val="24"/>
              </w:rPr>
              <w:t>,</w:t>
            </w:r>
            <w:r>
              <w:rPr>
                <w:rFonts w:ascii="仿宋_GB2312" w:hAnsi="仿宋_GB2312" w:cs="仿宋_GB2312" w:eastAsia="仿宋_GB2312"/>
                <w:sz w:val="24"/>
              </w:rPr>
              <w:t>向采购人提供施工组织计划、进度计划和施工作业计划，并签订施工安全责任书。</w:t>
            </w:r>
          </w:p>
          <w:p>
            <w:pPr>
              <w:pStyle w:val="null3"/>
            </w:pPr>
            <w:r>
              <w:rPr>
                <w:rFonts w:ascii="仿宋_GB2312" w:hAnsi="仿宋_GB2312" w:cs="仿宋_GB2312" w:eastAsia="仿宋_GB2312"/>
                <w:sz w:val="24"/>
              </w:rPr>
              <w:t xml:space="preserve">  3</w:t>
            </w:r>
            <w:r>
              <w:rPr>
                <w:rFonts w:ascii="仿宋_GB2312" w:hAnsi="仿宋_GB2312" w:cs="仿宋_GB2312" w:eastAsia="仿宋_GB2312"/>
                <w:sz w:val="24"/>
              </w:rPr>
              <w:t>、在施工期间，原有生态环境尽量不破坏，确需破坏的，要严格制定措施，尽量少破坏。</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（一）验收标准：质量必须达到国家及行业现行技术规范标准，符合国家及行业施工验收 规范合格标准，并满足采购人要求。（二）验收方法：（1）在竣工后，成交供应商应向采购人提交工程竣工报告，申请工程竣工验收，并将施工过程中相关资料提交采购人。（2）采购人收到工程竣工报告后，对符合竣工验收要求的工程，组织相关单位组成验收组共同验收，签署工程竣工验收意见。（3）验收合格后，采购人出具《工程竣工验收报告》 ，并在相关主管部门备案。（4）验收不合格的中标单位，必须在接到通知后7个日历日内确保工程通过验收。如接到通知后 7个日历日内验收仍不合格，采购人可提出索赔或取消其施工合同。 （三）验收依据：（1）合同文本及合同补充文件（条款） 。（2） 磋商文件。（3） 响应文件。（4）工程量清单。（5）施工质量验收标准。 （四）其他详见本章3.1技术、服务标准和要求。</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1.质量保修范围和保修期：质量保修期：质保期2年。质量保修期自工程竣工验收合格之日起计算。若供应商承诺质保期限超过磋商文件要求，按其承诺执行。 保修范围：承包人在质量保修期内，按照有关法律规定和合同约定，承担工程质量保修责任。 2.违约责任与解决争议的方法：若成交供应商未按合同要求提供工程质量或工程质量不能满足技术要求，采购人有权终止合同，并对供方违约行为进行追究，同时按《中华人民共和国民法典》、《中华人民共和国政府采购法》及其实施条例的有关规定进行处罚。</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为顺利推进政府采购电子化交易平台应用工作，投标人需要在线提交所有通过电子化交易平台实施的政府采购项目的响应文件，同时，线下提交纸质响应文件正本壹份、副本贰份、电子版贰套（纸质文件书脊处写明项目名称，正本、副本分开密封，U盘贰套随正本密封，封套须标明投标人名称、项目名称等）。若电子化交易平台文件与纸质响应文件不一致的，以电子化交易平台文件为准。线下递交文件截止时间：同响应文件递交截止时间；线下递交文件地点：铜川市王益区红旗街正大国际新城C座502室。2.本项目专门面向中小企业，投标供应商应为满足要求的中型、小型或微型企业或监狱企业或残疾人福利性单位。中小微企业参加政府采购活动，应当出具《政府采购促进中小企业发展管理办法》（财库【2020】46号）规定的《中小企业声明函》，否则不得享受相关中小企业扶持政策。在政府采购活动中，监狱企业视同小型、微型企业，享受预留份额、评审中价格扣除等政府采购促进中小企业发展的政府采购政策。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参加政府采购活动时，应当提供由省级以上监狱管理局、戒毒管理局（含新疆生产建设兵团）出具的属于监狱企业的证明文件，未提供或出具证明文件的单位不符合要求的，不视为小型、微型企业。不享受相关中小企业扶持政策。《财政部、民政部、中国残疾人联合会关于促进残疾人就业政府采购政策的通知》（财库〔2017〕141号）规定，在政府采购活动中，残疾人福利性单位视同小型、微型企业，享受预留份额、评审中价格扣除等促进中小企业发展的政府采购政策。残疾人福利性单位属于小型、微型企业的，不重复享受政策。符合条件的残疾人福利性单位在参加政府采购活动时，应当提供《财政部 民政部 中国残疾人联合会关于促进残疾人就业政府采购政策的通知》规定的《残疾人福利性单位声明函》，并对声明的真实性负责，未提供的不视为残疾人福利性单位，不视为小微企业，不享受相关中小企业扶持政策。各供应商应按实际情况慎重正确填写，对相关声明函的真实性负责，如有虚假需承担相关法律责任。3.其他落实的政府采购政策:（1）《政府采购促进中小企业发展管理办法》（财库〔2020〕46号）；（2）财政部 司法部关于政府采购支持监狱企业发展有关问题的通知--财库〔2014〕68号；（3）《国务院办公厅关于建立政府强制采购节能产品制度的通知》--国办发〔2007〕51号；(4)《节能产品政府采购实施意见》--（财库[2004]185号）；(5)《环境标志产品政府采购实施的意见》--财库[2006]90号；(6)《财政部民政部中国残疾人联合会关于促进残疾人就业政府采购政策的通知》--财库[2017]141号；(7)《关于调整优化节能产品、环境标志产品政府采购执行机制的通知》（财库[2019]9号）；(8)《财政部农业农村部国家乡村振兴局关于运用政府采购政策支持乡村产业振兴的通知》（财库〔2021〕19号）；（9）陕西省财政厅关于印发《陕西省中小企业政府采购信用融资办法》（陕财办采〔2018〕23号）；（10）《陕西省财政厅关于加快推进我省中小企业政府采购信用融资工作的通知》（陕财办采〔2020〕15号）；（11）《关于进一步加大政府采购支持中小企业力度的通知》（财库〔2022〕19号）；（12）陕西省财政厅等三部门转发财政部、住房城乡建设部、工业和信息化部关于扩大政府采购绿色建材促进建筑品质提升政策实施范围的通知（陕财办采〔2022〕10号）；(13)其他需要落实的政府采购政策。 (如有最新颁布的政府采购政策，按最新的文件执行。如享受相关政策，需提供相关证明材料）。4.企业规模划分标准按《工业和信息化部、国家统计局、国家发展和改革委员会、财政部关于印发&lt;中小企业划型标准规定&gt;的通知》（工信部联企业【2011】300 号）文件规定标准确认）。本项目所属行业为建筑业，供应商应根据工信部联企业【2011】 300 号文件中的划型标准按实际填写所属类型。建筑业：营业收入80000万元以下或资产总额80000万元以下的为中小微型企业。其中，营业收入6000万元及以上，且资产总额5000万元及以上的为中型企业；营业收入300万元及以上，且资产总额300万元及以上的为小型企业；营业收入300万元以下或资产总额300万元以下的为微型企业。</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关于财务会计制度的证明材料（提供2023或2024任一年度经审计的财务审计报告(2025年成立的公司提供成立后企业的资产负债表和利润表），或提供响应文件递交截止之日前近一年内基本存款账户开户银行开具的资信证明；）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供应商资格证明文件.docx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供应商资格证明文件.docx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具有独立承担民事责任的能力，提供法人或者其他组织的营业执照等国家规定的证明文件，自然人参与的提供其身份证明；</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法定代表人身份证明或法定代表人授权委托书</w:t>
            </w:r>
          </w:p>
        </w:tc>
        <w:tc>
          <w:tcPr>
            <w:tcW w:type="dxa" w:w="3322"/>
          </w:tcPr>
          <w:p>
            <w:pPr>
              <w:pStyle w:val="null3"/>
            </w:pPr>
            <w:r>
              <w:rPr>
                <w:rFonts w:ascii="仿宋_GB2312" w:hAnsi="仿宋_GB2312" w:cs="仿宋_GB2312" w:eastAsia="仿宋_GB2312"/>
              </w:rPr>
              <w:t>法定代表人授权书（附法定代表人及被授权人身份证复印件）（如法定代表人直接投标只须提交法定代表人身份证明并附身份证复印件）；</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提供2023或2024任一年度经审计的财务审计报告(2025年成立的公司提供成立后企业的资产负债表和利润表），或提供响应文件递交截止之日前近一年内基本存款账户开户银行开具的资信证明；</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提供2024年06月01日至今任意一个月的缴纳税收的证明材料(依法免税的单位应提供相关证明材料)；</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提供2024年06月01日至今任意一个月的依法缴纳社会保障资金的证明材料（依法不需要缴纳社会保障资金的单位应提供相关证明材料）；</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投标供应商不得为“信用中国”网站（www.creditchina.gov.cn）中列入失信被执行人或重大税收违法案件当事人名单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履约能力</w:t>
            </w:r>
          </w:p>
        </w:tc>
        <w:tc>
          <w:tcPr>
            <w:tcW w:type="dxa" w:w="3322"/>
          </w:tcPr>
          <w:p>
            <w:pPr>
              <w:pStyle w:val="null3"/>
            </w:pPr>
            <w:r>
              <w:rPr>
                <w:rFonts w:ascii="仿宋_GB2312" w:hAnsi="仿宋_GB2312" w:cs="仿宋_GB2312" w:eastAsia="仿宋_GB2312"/>
              </w:rPr>
              <w:t>出具具备履行合同所必需的设备和专业技术能力的书面声明；</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无重大违法记录</w:t>
            </w:r>
          </w:p>
        </w:tc>
        <w:tc>
          <w:tcPr>
            <w:tcW w:type="dxa" w:w="3322"/>
          </w:tcPr>
          <w:p>
            <w:pPr>
              <w:pStyle w:val="null3"/>
            </w:pPr>
            <w:r>
              <w:rPr>
                <w:rFonts w:ascii="仿宋_GB2312" w:hAnsi="仿宋_GB2312" w:cs="仿宋_GB2312" w:eastAsia="仿宋_GB2312"/>
              </w:rPr>
              <w:t>参加政府采购活动前3年内，在经营活动中没有重大违法记录（提供书面声明函）;</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企业关联关系</w:t>
            </w:r>
          </w:p>
        </w:tc>
        <w:tc>
          <w:tcPr>
            <w:tcW w:type="dxa" w:w="3322"/>
          </w:tcPr>
          <w:p>
            <w:pPr>
              <w:pStyle w:val="null3"/>
            </w:pPr>
            <w:r>
              <w:rPr>
                <w:rFonts w:ascii="仿宋_GB2312" w:hAnsi="仿宋_GB2312" w:cs="仿宋_GB2312" w:eastAsia="仿宋_GB2312"/>
              </w:rPr>
              <w:t>单位负责人为同一人或者存在直接控股、管理关系的不同供应商不得同时参加本项目磋商；</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①具有建筑工程施工总承包二级及以上（含二级）资质，或建筑装修装饰工程专业承包二级及以上（含二级）资质；②并具有有效的安全生产许可证；</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拟派项目负责人资质和专业要求</w:t>
            </w:r>
          </w:p>
        </w:tc>
        <w:tc>
          <w:tcPr>
            <w:tcW w:type="dxa" w:w="3322"/>
          </w:tcPr>
          <w:p>
            <w:pPr>
              <w:pStyle w:val="null3"/>
            </w:pPr>
            <w:r>
              <w:rPr>
                <w:rFonts w:ascii="仿宋_GB2312" w:hAnsi="仿宋_GB2312" w:cs="仿宋_GB2312" w:eastAsia="仿宋_GB2312"/>
              </w:rPr>
              <w:t>拟派项目经理需具备建筑工程专业二级及以上（含二级）注册建造师资格，具备有效的安全生产考核合格证（B证）， 本单位注册，且无其他在建工程（提供无在建承诺）。</w:t>
            </w:r>
          </w:p>
        </w:tc>
        <w:tc>
          <w:tcPr>
            <w:tcW w:type="dxa" w:w="1661"/>
          </w:tcPr>
          <w:p>
            <w:pPr>
              <w:pStyle w:val="null3"/>
            </w:pPr>
            <w:r>
              <w:rPr>
                <w:rFonts w:ascii="仿宋_GB2312" w:hAnsi="仿宋_GB2312" w:cs="仿宋_GB2312" w:eastAsia="仿宋_GB2312"/>
              </w:rPr>
              <w:t>项目管理机构组成表 供应商资格证明文件.docx 主要人员简历表</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响应性评审</w:t>
            </w:r>
          </w:p>
        </w:tc>
        <w:tc>
          <w:tcPr>
            <w:tcW w:type="dxa" w:w="3322"/>
          </w:tcPr>
          <w:p>
            <w:pPr>
              <w:pStyle w:val="null3"/>
            </w:pPr>
            <w:r>
              <w:rPr>
                <w:rFonts w:ascii="仿宋_GB2312" w:hAnsi="仿宋_GB2312" w:cs="仿宋_GB2312" w:eastAsia="仿宋_GB2312"/>
              </w:rPr>
              <w:t>（1） 响应文件的签署及格式：磋商文件要求必须响应的 内容齐全，有格式要求的应符合格式要求；要求签字或盖章的，按文件规定签字或盖章齐全；（2）报价唯一：只能有一个有效报价，不得提交选择性报价，且报价不超过采购预算和最高限价。（3） 磋商文件响应的响应程度：要求全面响应，不能有任何采购人不能接受的附加条件；（4）拟提供的服务：应满足磋商文件提出的技术和服务要求。（5）磋商有效期：应满足磋商文件中的规定；（6）工期和工程质量：应满足磋商文件中的规定.</w:t>
            </w:r>
          </w:p>
        </w:tc>
        <w:tc>
          <w:tcPr>
            <w:tcW w:type="dxa" w:w="1661"/>
          </w:tcPr>
          <w:p>
            <w:pPr>
              <w:pStyle w:val="null3"/>
            </w:pPr>
            <w:r>
              <w:rPr>
                <w:rFonts w:ascii="仿宋_GB2312" w:hAnsi="仿宋_GB2312" w:cs="仿宋_GB2312" w:eastAsia="仿宋_GB2312"/>
              </w:rPr>
              <w:t>技术方案.docx 已标价工程量清单 中小企业声明函 技术服务合同条款及其他商务要求应答表 拒绝商业贿赂承诺书.docx 强制优先采购产品承诺函 响应文件封面 项目管理机构组成表 拟投主本项目的主要施工设备表.docx 残疾人福利性单位声明函 报价函 标的清单 供应商类似项目业绩一览表 供应商资格证明文件.docx 响应函 主要人员简历表 监狱企业的证明文件</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一、评审标准（共三项）： 1）完整性：内容全面，对评审内容中的各要求有详细描述及说明； 2）可实施性：切合本项目实际情况，提出步骤清晰、合理的方案，可操作性强； 3）针对性：能够紧扣项目实际情况，内容贴合实际科学合理，有利于保证项目圆满实施，提高工程质量、效率，符合项目实际需求。 二、评审内容及赋分标准（总分9分）： 第①条：针对项目实际情况编制施工方案，包括但不限于施工准备、测量、放线、施工步骤及方法等。每完全满足一项评审标准得3分，本条共9分，不提供不得分。 第①条评审内容存在缺陷的，扣0.1-9分。（缺陷是指内容不详细或不全面，或虽有内容但是不合理，或分析不到位，或思路混乱、逻辑条理不清楚，或前后内容不一致、或套用其他项目方案或者与项目需求不匹配及其他不利于项目实施的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确保工程质量的技术组织措施</w:t>
            </w:r>
          </w:p>
        </w:tc>
        <w:tc>
          <w:tcPr>
            <w:tcW w:type="dxa" w:w="2492"/>
          </w:tcPr>
          <w:p>
            <w:pPr>
              <w:pStyle w:val="null3"/>
            </w:pPr>
            <w:r>
              <w:rPr>
                <w:rFonts w:ascii="仿宋_GB2312" w:hAnsi="仿宋_GB2312" w:cs="仿宋_GB2312" w:eastAsia="仿宋_GB2312"/>
              </w:rPr>
              <w:t>一、评审标准（共三项）： 1）完整性：内容全面，对评审内容中的各要求有详细描述及说明； 2）可实施性：切合本项目实际情况，提出步骤清晰、合理的方案，可操作性强； 3）针对性：能够紧扣项目实际情况，内容贴合实际科学合理，有利于保证项目圆满实施，提高工程质量、效率，符合项目实际需求。 二、评审内容及赋分标准（总分9分）： 第①条：确保工程质量的技术组织措施包括但不限于针对本项目特点制定切实可行的质量控制目标、保证措施等。每完全满足一项评审标准得3分，本条共9分，不提供不得分。 第①条评审内容存在缺陷的，扣0.1-9分。（缺陷是指内容不详细或不全面，或虽有内容但是不合理，或分析不到位，或思路混乱、逻辑条理不清楚，或前后内容不一致、或套用其他项目方案或者与项目需求不匹配及其他不利于项目实施的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确保安全生产的技术组织措施</w:t>
            </w:r>
          </w:p>
        </w:tc>
        <w:tc>
          <w:tcPr>
            <w:tcW w:type="dxa" w:w="2492"/>
          </w:tcPr>
          <w:p>
            <w:pPr>
              <w:pStyle w:val="null3"/>
            </w:pPr>
            <w:r>
              <w:rPr>
                <w:rFonts w:ascii="仿宋_GB2312" w:hAnsi="仿宋_GB2312" w:cs="仿宋_GB2312" w:eastAsia="仿宋_GB2312"/>
              </w:rPr>
              <w:t>一、评审标准（共三项）： 1）完整性：内容全面，对评审内容中的各要求有详细描述及说明； 2）可实施性：切合本项目实际情况，提出步骤清晰、合理的方案，可操作性强； 3）针对性：能够紧扣项目实际情况，内容贴合实际科学合理，有利于保证项目圆满实施，提高工程质量、效率，符合项目实际需求。 二、评审内容及赋分标准（总分9分）： 第①条：具有健全的安全保证体系，结合工程特点分析安全隐患。给出有针对性的安全生产保证措施）。每完全满足一项评审标准得3分，本条共9分，不提供不得分。 第①条评审内容存在缺陷的，扣0.1-9分。（缺陷是指内容不详细或不全面，或虽有内容但是不合理，或分析不到位，或思路混乱、逻辑条理不清楚，或前后内容不一致、或套用其他项目方案或者与项目需求不匹配及其他不利于项目实施的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确保工期的组织措施</w:t>
            </w:r>
          </w:p>
        </w:tc>
        <w:tc>
          <w:tcPr>
            <w:tcW w:type="dxa" w:w="2492"/>
          </w:tcPr>
          <w:p>
            <w:pPr>
              <w:pStyle w:val="null3"/>
            </w:pPr>
            <w:r>
              <w:rPr>
                <w:rFonts w:ascii="仿宋_GB2312" w:hAnsi="仿宋_GB2312" w:cs="仿宋_GB2312" w:eastAsia="仿宋_GB2312"/>
              </w:rPr>
              <w:t>一、评审标准（共三项）： 1）完整性：内容全面，对评审内容中的各要求有详细描述及说明； 2）可实施性：切合本项目实际情况，提出步骤清晰、合理的方案，可操作性强； 3）针对性：能够紧扣项目实际情况，内容贴合实际科学合理，有利于保证项目圆满实施，提高工程质量、效率，符合项目实际需求。 二、评审内容及赋分标准（总分9分）： 第①条：确保工期的组织措施（包括但不限于具有详细的施工进度安排、进度控制及保证措施，能够有效合理安排工作进度，保证在采购人要求的时间内保质保量完成相应任务)。每完全满足一项评审标准得3分，本条共9分，不提供不得分。 第①条评审内容存在缺陷的，扣0.1-9分。（缺陷是指内容不详细或不全面，或虽有内容但是不合理，或分析不到位，或思路混乱、逻辑条理不清楚，或前后内容不一致、或套用其他项目方案或者与项目需求不匹配及其他不利于项目实施的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确保文明施工的技术措施及环境保护措施</w:t>
            </w:r>
          </w:p>
        </w:tc>
        <w:tc>
          <w:tcPr>
            <w:tcW w:type="dxa" w:w="2492"/>
          </w:tcPr>
          <w:p>
            <w:pPr>
              <w:pStyle w:val="null3"/>
            </w:pPr>
            <w:r>
              <w:rPr>
                <w:rFonts w:ascii="仿宋_GB2312" w:hAnsi="仿宋_GB2312" w:cs="仿宋_GB2312" w:eastAsia="仿宋_GB2312"/>
              </w:rPr>
              <w:t>一、评审标准（共三项）： 1）完整性：内容全面，对评审内容中的各要求有详细描述及说明； 2）可实施性：切合本项目实际情况，提出步骤清晰、合理的方案，可操作性强； 3）针对性：能够紧扣项目实际情况，内容贴合实际科学合理，有利于保证项目圆满实施，提高工程质量、效率，符合项目实际需求。 二、评审内容及赋分标准（总分6分）： 第①条：确保文明施工的技术组织措施。每完全满足一项评审标准得1分，本条共3分，不提供不得分。 第②条：环保施工、防尘降噪等环境保护措施。每完全满足一项评审标准得1分，本条共3分，不提供不得分。 以上第①-②条评审内容每条存在缺陷的，扣0.1-3分。（缺陷是指内容不详细或不全面，或虽有内容但是不合理，或分析不到位，或思路混乱、逻辑条理不清楚，或前后内容不一致、或套用其他项目方案或者与项目需求不匹配及其他不利于项目实施的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人员配置及劳动力安排计划</w:t>
            </w:r>
          </w:p>
        </w:tc>
        <w:tc>
          <w:tcPr>
            <w:tcW w:type="dxa" w:w="2492"/>
          </w:tcPr>
          <w:p>
            <w:pPr>
              <w:pStyle w:val="null3"/>
            </w:pPr>
            <w:r>
              <w:rPr>
                <w:rFonts w:ascii="仿宋_GB2312" w:hAnsi="仿宋_GB2312" w:cs="仿宋_GB2312" w:eastAsia="仿宋_GB2312"/>
              </w:rPr>
              <w:t>根据供应商针对本项目拟投入劳动力的安排，工种、数量、劳动力水平配置合理，岗位职责、制度合理明确，满足项目需求。 一、评审标准（共三项）： 1）完整性：内容全面，对评审内容中的各要求有详细描述及说明； 2）可实施性：切合本项目实际情况，提出步骤清晰、合理的方案，可操作性强； 3）针对性：能够紧扣项目实际情况，内容贴合实际科学合理，有利于保证项目圆满实施，提高工程质量、效率，符合项目实际需求。 二、评审内容及赋分标准（总分6分）： 第①条：拟投入本项目的劳动力工种、数量、劳动力水平配置合理。每完全满足一项评审标准得1分，本条共3分，不提供不得分。 第②条：岗位职责、管理制度合理明确。每完全满足一项评审标准得1分，本条共3分，不提供不得分。 以上第①-②条评审内容每条存在缺陷的，扣0.1-3分。（缺陷是指内容不详细或不全面，或虽有内容但是不合理，或分析不到位，或思路混乱、逻辑条理不清楚，或前后内容不一致、或套用其他项目方案或者与项目需求不匹配及其他不利于项目实施的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项目经理部</w:t>
            </w:r>
          </w:p>
        </w:tc>
        <w:tc>
          <w:tcPr>
            <w:tcW w:type="dxa" w:w="2492"/>
          </w:tcPr>
          <w:p>
            <w:pPr>
              <w:pStyle w:val="null3"/>
            </w:pPr>
            <w:r>
              <w:rPr>
                <w:rFonts w:ascii="仿宋_GB2312" w:hAnsi="仿宋_GB2312" w:cs="仿宋_GB2312" w:eastAsia="仿宋_GB2312"/>
              </w:rPr>
              <w:t>1.拟派项目经理具有中级或中级以上职称的得1分（以职称证复印件或扫描件加盖公章为准），项目经理担任过其他类似项目项目经理的得1分（以加盖公章的合同复印件或扫描件为准，合同需体现项目经理姓名，如合同中未体现需附体现其姓名的中标通知书或官网公告截图等。否则不予认可。） 2.技术负责人具有中级或中级以上职称的得1分（以职称证复印件或扫描件加盖公章为准）。 3.项目部人员组成合理，包括安全员、质量员、施工员、材料员、资料员，并具有有效的岗位证书的得5分，每少一个人或者有一个人不具有有效的岗位证书扣1分，扣完为止。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技术方案.docx</w:t>
            </w:r>
          </w:p>
          <w:p>
            <w:pPr>
              <w:pStyle w:val="null3"/>
            </w:pPr>
            <w:r>
              <w:rPr>
                <w:rFonts w:ascii="仿宋_GB2312" w:hAnsi="仿宋_GB2312" w:cs="仿宋_GB2312" w:eastAsia="仿宋_GB2312"/>
              </w:rPr>
              <w:t>供应商资格证明文件.docx</w:t>
            </w:r>
          </w:p>
        </w:tc>
      </w:tr>
      <w:tr>
        <w:tc>
          <w:tcPr>
            <w:tcW w:type="dxa" w:w="831"/>
            <w:vMerge/>
          </w:tcPr>
          <w:p/>
        </w:tc>
        <w:tc>
          <w:tcPr>
            <w:tcW w:type="dxa" w:w="1661"/>
          </w:tcPr>
          <w:p>
            <w:pPr>
              <w:pStyle w:val="null3"/>
            </w:pPr>
            <w:r>
              <w:rPr>
                <w:rFonts w:ascii="仿宋_GB2312" w:hAnsi="仿宋_GB2312" w:cs="仿宋_GB2312" w:eastAsia="仿宋_GB2312"/>
              </w:rPr>
              <w:t>拟投入的机械设备、工具</w:t>
            </w:r>
          </w:p>
        </w:tc>
        <w:tc>
          <w:tcPr>
            <w:tcW w:type="dxa" w:w="2492"/>
          </w:tcPr>
          <w:p>
            <w:pPr>
              <w:pStyle w:val="null3"/>
            </w:pPr>
            <w:r>
              <w:rPr>
                <w:rFonts w:ascii="仿宋_GB2312" w:hAnsi="仿宋_GB2312" w:cs="仿宋_GB2312" w:eastAsia="仿宋_GB2312"/>
              </w:rPr>
              <w:t>一、评审标准（共三项）： 1）完整性：内容全面，对评审内容中的各要求有详细描述及说明； 2）可实施性：切合本项目实际情况，提出步骤清晰、合理的方案，可操作性强； 3）针对性：能够紧扣项目实际情况，内容贴合实际科学合理，有利于保证项目圆满实施，提高工程质量、效率，符合项目实际需求。 二、评审内容及赋分标准（总分6分）： 第①条：供应商拟投入的设备、工具，种类、数量齐全、充足，配置方案合理，满足项目需求。每完全满足一项评审标准得2分，本条共6分，不提供不得分。 第①条评审内容存在缺陷的，扣0.1-6分。（缺陷是指内容不详细或不全面，或虽有内容但是不合理，或分析不到位，或思路混乱、逻辑条理不清楚，或前后内容不一致、或套用其他项目方案或者与项目需求不匹配及其他不利于项目实施的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拟投主本项目的主要施工设备表.docx</w:t>
            </w:r>
          </w:p>
        </w:tc>
      </w:tr>
      <w:tr>
        <w:tc>
          <w:tcPr>
            <w:tcW w:type="dxa" w:w="831"/>
            <w:vMerge/>
          </w:tcPr>
          <w:p/>
        </w:tc>
        <w:tc>
          <w:tcPr>
            <w:tcW w:type="dxa" w:w="1661"/>
          </w:tcPr>
          <w:p>
            <w:pPr>
              <w:pStyle w:val="null3"/>
            </w:pPr>
            <w:r>
              <w:rPr>
                <w:rFonts w:ascii="仿宋_GB2312" w:hAnsi="仿宋_GB2312" w:cs="仿宋_GB2312" w:eastAsia="仿宋_GB2312"/>
              </w:rPr>
              <w:t>服务承诺及合理化建议</w:t>
            </w:r>
          </w:p>
        </w:tc>
        <w:tc>
          <w:tcPr>
            <w:tcW w:type="dxa" w:w="2492"/>
          </w:tcPr>
          <w:p>
            <w:pPr>
              <w:pStyle w:val="null3"/>
            </w:pPr>
            <w:r>
              <w:rPr>
                <w:rFonts w:ascii="仿宋_GB2312" w:hAnsi="仿宋_GB2312" w:cs="仿宋_GB2312" w:eastAsia="仿宋_GB2312"/>
              </w:rPr>
              <w:t>完全承诺磋商文件和合同条款，并针对本项目实际需求提供实质性承诺及合理化建议。服务承诺详细全面、措施及建议合理可行。 一、评审标准（共三项）： 1）完整性：内容全面，对评审内容中的各要求有详细描述及说明； 2）可实施性：切合本项目实际情况，提出步骤清晰、合理的方案，可操作性强； 3）针对性：能够紧扣项目实际情况，内容贴合实际科学合理，有利于保证项目圆满实施，提高工程质量、效率，符合项目实际需求。 二、评审内容及赋分标准（总分6分）： 第①条：服务承诺有利于采购人获得更好服务。每完全满足一项评审标准得1分，本条共3分，不提供不得分。 第②条：针对项目提出重点难点分析及合理化建议。每完全满足一项评审标准得1分，本条共3分，不提供不得分。 以上第①-②条评审内容每条存在缺陷的，扣0.1-3分。（缺陷是指内容不详细或不全面，或虽有内容但是不合理，或分析不到位，或思路混乱、逻辑条理不清楚，或前后内容不一致、或套用其他项目方案或者与项目需求不匹配及其他不利于项目实施的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类似项目业绩</w:t>
            </w:r>
          </w:p>
        </w:tc>
        <w:tc>
          <w:tcPr>
            <w:tcW w:type="dxa" w:w="2492"/>
          </w:tcPr>
          <w:p>
            <w:pPr>
              <w:pStyle w:val="null3"/>
            </w:pPr>
            <w:r>
              <w:rPr>
                <w:rFonts w:ascii="仿宋_GB2312" w:hAnsi="仿宋_GB2312" w:cs="仿宋_GB2312" w:eastAsia="仿宋_GB2312"/>
              </w:rPr>
              <w:t>投标供应商具有2022年6月1日至今已完成的类似项目业绩（时间以合同签订日期为准），提供合同的复印件或扫描件加盖投标单位公章。每提供1份得1分，不提供不得分，此项最多2分。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磋商文件要求且最后磋商报价最低的供应商的价格为评标基准价，其价格分为满分。其他供应商的价格分统一按照下列公式计算：报价得分=（评标基准价/最后磋商报价）×价格权值（即30%）×100（保留小数点后两位，小数点后第三位“四舍五入”）</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详见附件：拒绝商业贿赂承诺书.docx</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详见附件：技术方案.docx</w:t>
      </w:r>
    </w:p>
    <w:p>
      <w:pPr>
        <w:pStyle w:val="null3"/>
        <w:ind w:firstLine="960"/>
      </w:pPr>
      <w:r>
        <w:rPr>
          <w:rFonts w:ascii="仿宋_GB2312" w:hAnsi="仿宋_GB2312" w:cs="仿宋_GB2312" w:eastAsia="仿宋_GB2312"/>
        </w:rPr>
        <w:t>详见附件：拟投主本项目的主要施工设备表.docx</w:t>
      </w:r>
    </w:p>
    <w:p>
      <w:pPr>
        <w:pStyle w:val="null3"/>
        <w:ind w:firstLine="960"/>
      </w:pPr>
      <w:r>
        <w:rPr>
          <w:rFonts w:ascii="仿宋_GB2312" w:hAnsi="仿宋_GB2312" w:cs="仿宋_GB2312" w:eastAsia="仿宋_GB2312"/>
        </w:rPr>
        <w:t>详见附件：供应商类似项目业绩一览表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