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版本号：SXBH-ZFCG-2025-08320250818001</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王益区黄堡镇逸夫小学供暖锅炉项目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SXBH-ZFCG-2025-083</w:t>
      </w:r>
      <w:r>
        <w:br/>
      </w:r>
      <w:r>
        <w:br/>
      </w:r>
      <w:r>
        <w:br/>
      </w:r>
    </w:p>
    <w:p>
      <w:pPr>
        <w:pStyle w:val="null3"/>
        <w:jc w:val="center"/>
        <w:outlineLvl w:val="2"/>
      </w:pPr>
      <w:r>
        <w:rPr>
          <w:rFonts w:ascii="仿宋_GB2312" w:hAnsi="仿宋_GB2312" w:cs="仿宋_GB2312" w:eastAsia="仿宋_GB2312"/>
          <w:sz w:val="28"/>
          <w:b/>
        </w:rPr>
        <w:t>铜川市王益区黄堡镇逸夫小学</w:t>
      </w:r>
    </w:p>
    <w:p>
      <w:pPr>
        <w:pStyle w:val="null3"/>
        <w:jc w:val="center"/>
        <w:outlineLvl w:val="2"/>
      </w:pPr>
      <w:r>
        <w:rPr>
          <w:rFonts w:ascii="仿宋_GB2312" w:hAnsi="仿宋_GB2312" w:cs="仿宋_GB2312" w:eastAsia="仿宋_GB2312"/>
          <w:sz w:val="28"/>
          <w:b/>
        </w:rPr>
        <w:t>陕西北衡全项目咨询有限公司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2025年08月18日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陕西北衡全项目咨询有限公司</w:t>
      </w:r>
      <w:r>
        <w:rPr>
          <w:rFonts w:ascii="仿宋_GB2312" w:hAnsi="仿宋_GB2312" w:cs="仿宋_GB2312" w:eastAsia="仿宋_GB2312"/>
        </w:rPr>
        <w:t>（以下简称“代理机构”）受</w:t>
      </w:r>
      <w:r>
        <w:rPr>
          <w:rFonts w:ascii="仿宋_GB2312" w:hAnsi="仿宋_GB2312" w:cs="仿宋_GB2312" w:eastAsia="仿宋_GB2312"/>
        </w:rPr>
        <w:t>铜川市王益区黄堡镇逸夫小学</w:t>
      </w:r>
      <w:r>
        <w:rPr>
          <w:rFonts w:ascii="仿宋_GB2312" w:hAnsi="仿宋_GB2312" w:cs="仿宋_GB2312" w:eastAsia="仿宋_GB2312"/>
        </w:rPr>
        <w:t>委托，拟对</w:t>
      </w:r>
      <w:r>
        <w:rPr>
          <w:rFonts w:ascii="仿宋_GB2312" w:hAnsi="仿宋_GB2312" w:cs="仿宋_GB2312" w:eastAsia="仿宋_GB2312"/>
        </w:rPr>
        <w:t>王益区黄堡镇逸夫小学供暖锅炉项目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SXBH-ZFCG-2025-083</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王益区黄堡镇逸夫小学供暖锅炉项目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王益区黄堡镇逸夫小学供暖锅炉采购</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采购包1（王益区黄堡镇逸夫小学供暖锅炉项目）：属于专门面向中小企业采购。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1、营业执照等主体资格证明文件：提供有效存续的企业营业执照（副本）/事业单位法人证书/专业服务机构执业许可证/民办非企业单位登记证书（以上四种形式的资料提供任何一种即可），自然人提供身份证；</w:t>
      </w:r>
    </w:p>
    <w:p>
      <w:pPr>
        <w:pStyle w:val="null3"/>
      </w:pPr>
      <w:r>
        <w:rPr>
          <w:rFonts w:ascii="仿宋_GB2312" w:hAnsi="仿宋_GB2312" w:cs="仿宋_GB2312" w:eastAsia="仿宋_GB2312"/>
        </w:rPr>
        <w:t>2、供应商应提供健全的财务会计制度的证明材料：提供近三年任一年度的经会计师事务所或审计机构审计的财务审计报告(包括审计报告、资产负债表、利润表、现金流量表、所有者权益变动表、附注等全部内容，成立时间至提交响应文件截止时间不足一年的可提供成立后任意时段的资产负债表)和财务情况说明书，或投标截止日前六个月内其基本存款账户开户银行出具的资信证明，或信用担保机构出具的投标担保函；</w:t>
      </w:r>
    </w:p>
    <w:p>
      <w:pPr>
        <w:pStyle w:val="null3"/>
      </w:pPr>
      <w:r>
        <w:rPr>
          <w:rFonts w:ascii="仿宋_GB2312" w:hAnsi="仿宋_GB2312" w:cs="仿宋_GB2312" w:eastAsia="仿宋_GB2312"/>
        </w:rPr>
        <w:t>3、有依法缴纳税收的良好记录：提供投标截止日前近六个月内已缴存的至少一个月的社会保障资金缴存单据或社保机构开具的社会保险参保缴费情况证明；</w:t>
      </w:r>
    </w:p>
    <w:p>
      <w:pPr>
        <w:pStyle w:val="null3"/>
      </w:pPr>
      <w:r>
        <w:rPr>
          <w:rFonts w:ascii="仿宋_GB2312" w:hAnsi="仿宋_GB2312" w:cs="仿宋_GB2312" w:eastAsia="仿宋_GB2312"/>
        </w:rPr>
        <w:t>4、有依法缴纳社会保障资金的良好记录：提供投标截止日前近六个月内已缴纳的至少一个月的纳税证明或完税证明（提供增值税、营业税、企业所得税中的至少一种），纳税证明或完税证明上应有代收机构或税务机关的公章或业务专用章。依法免税的单位应提供相关证明材料；</w:t>
      </w:r>
    </w:p>
    <w:p>
      <w:pPr>
        <w:pStyle w:val="null3"/>
      </w:pPr>
      <w:r>
        <w:rPr>
          <w:rFonts w:ascii="仿宋_GB2312" w:hAnsi="仿宋_GB2312" w:cs="仿宋_GB2312" w:eastAsia="仿宋_GB2312"/>
        </w:rPr>
        <w:t>5、具有履行合同所必需的设备和专业技术能力：提供具有履行合同所必需的设备和专业技术能力的书面声明；</w:t>
      </w:r>
    </w:p>
    <w:p>
      <w:pPr>
        <w:pStyle w:val="null3"/>
      </w:pPr>
      <w:r>
        <w:rPr>
          <w:rFonts w:ascii="仿宋_GB2312" w:hAnsi="仿宋_GB2312" w:cs="仿宋_GB2312" w:eastAsia="仿宋_GB2312"/>
        </w:rPr>
        <w:t>6、法定代表人证明书或法定代表人授权书：法定代表人参加投标的，须提供法定代表人证明书及本人身份证复印件；法定代表人授权他人参加投标的，须提供法定代表人授权委托书并出示授权代表的身份证复印件。采购文件中凡是需要法定代表人签字盖章之处，非法人单位的负责人均参照执行；</w:t>
      </w:r>
    </w:p>
    <w:p>
      <w:pPr>
        <w:pStyle w:val="null3"/>
      </w:pPr>
      <w:r>
        <w:rPr>
          <w:rFonts w:ascii="仿宋_GB2312" w:hAnsi="仿宋_GB2312" w:cs="仿宋_GB2312" w:eastAsia="仿宋_GB2312"/>
        </w:rPr>
        <w:t>7、参加本次政府采购活动前3年内在经营活动中没有重大违法记录或被起诉：提供参加本次政府采购活动前3年内在经营活动中没有重大违法记录或被起诉的书面声明；</w:t>
      </w:r>
    </w:p>
    <w:p>
      <w:pPr>
        <w:pStyle w:val="null3"/>
      </w:pPr>
      <w:r>
        <w:rPr>
          <w:rFonts w:ascii="仿宋_GB2312" w:hAnsi="仿宋_GB2312" w:cs="仿宋_GB2312" w:eastAsia="仿宋_GB2312"/>
        </w:rPr>
        <w:t>8、本项目不接受联合体投标：提供非联合体承诺书。</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铜川市王益区黄堡镇逸夫小学</w:t>
      </w:r>
    </w:p>
    <w:p>
      <w:pPr>
        <w:pStyle w:val="null3"/>
      </w:pPr>
      <w:r>
        <w:rPr>
          <w:rFonts w:ascii="仿宋_GB2312" w:hAnsi="仿宋_GB2312" w:cs="仿宋_GB2312" w:eastAsia="仿宋_GB2312"/>
        </w:rPr>
        <w:t xml:space="preserve"> 地址： </w:t>
      </w:r>
      <w:r>
        <w:rPr>
          <w:rFonts w:ascii="仿宋_GB2312" w:hAnsi="仿宋_GB2312" w:cs="仿宋_GB2312" w:eastAsia="仿宋_GB2312"/>
        </w:rPr>
        <w:t>铜川市王益区黄堡镇新市街</w:t>
      </w:r>
    </w:p>
    <w:p>
      <w:pPr>
        <w:pStyle w:val="null3"/>
      </w:pPr>
      <w:r>
        <w:rPr>
          <w:rFonts w:ascii="仿宋_GB2312" w:hAnsi="仿宋_GB2312" w:cs="仿宋_GB2312" w:eastAsia="仿宋_GB2312"/>
        </w:rPr>
        <w:t xml:space="preserve"> 邮编： </w:t>
      </w:r>
      <w:r>
        <w:rPr>
          <w:rFonts w:ascii="仿宋_GB2312" w:hAnsi="仿宋_GB2312" w:cs="仿宋_GB2312" w:eastAsia="仿宋_GB2312"/>
        </w:rPr>
        <w:t>727001</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张旭娜</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15829895812</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陕西北衡全项目咨询有限公司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铜川市印台区惠民佳苑8号楼2楼</w:t>
      </w:r>
    </w:p>
    <w:p>
      <w:pPr>
        <w:pStyle w:val="null3"/>
      </w:pPr>
      <w:r>
        <w:rPr>
          <w:rFonts w:ascii="仿宋_GB2312" w:hAnsi="仿宋_GB2312" w:cs="仿宋_GB2312" w:eastAsia="仿宋_GB2312"/>
        </w:rPr>
        <w:t xml:space="preserve"> 邮编： </w:t>
      </w:r>
      <w:r>
        <w:rPr>
          <w:rFonts w:ascii="仿宋_GB2312" w:hAnsi="仿宋_GB2312" w:cs="仿宋_GB2312" w:eastAsia="仿宋_GB2312"/>
        </w:rPr>
        <w:t>727000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刘瑞华</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17691172318</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铜川市王益区政府采购管理股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段鹏</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0919-2582209</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采购包1：395,100.00元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代理服务费收费标准：依据国家发改委发改价格[2011]534号文件及依据国家计委计价格[2002]1980号文件规定计取，以中标金额为计算基数，按差额定率累进法计算。</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铜川市王益区黄堡镇逸夫小学</w:t>
      </w:r>
      <w:r>
        <w:rPr>
          <w:rFonts w:ascii="仿宋_GB2312" w:hAnsi="仿宋_GB2312" w:cs="仿宋_GB2312" w:eastAsia="仿宋_GB2312"/>
        </w:rPr>
        <w:t>和</w:t>
      </w:r>
      <w:r>
        <w:rPr>
          <w:rFonts w:ascii="仿宋_GB2312" w:hAnsi="仿宋_GB2312" w:cs="仿宋_GB2312" w:eastAsia="仿宋_GB2312"/>
        </w:rPr>
        <w:t>陕西北衡全项目咨询有限公司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铜川市王益区黄堡镇逸夫小学</w:t>
      </w:r>
      <w:r>
        <w:rPr>
          <w:rFonts w:ascii="仿宋_GB2312" w:hAnsi="仿宋_GB2312" w:cs="仿宋_GB2312" w:eastAsia="仿宋_GB2312"/>
        </w:rPr>
        <w:t>负责解释。除上述招标文件内容，其他内容由</w:t>
      </w:r>
      <w:r>
        <w:rPr>
          <w:rFonts w:ascii="仿宋_GB2312" w:hAnsi="仿宋_GB2312" w:cs="仿宋_GB2312" w:eastAsia="仿宋_GB2312"/>
        </w:rPr>
        <w:t>陕西北衡全项目咨询有限公司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铜川市王益区黄堡镇逸夫小学</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陕西北衡全项目咨询有限公司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达到国家及行业相关验收标准</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陕西北衡全项目咨询有限公司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陕西北衡全项目咨询有限公司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陕西北衡全项目咨询有限公司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联系人：刘瑞华</w:t>
      </w:r>
    </w:p>
    <w:p>
      <w:pPr>
        <w:pStyle w:val="null3"/>
      </w:pPr>
      <w:r>
        <w:rPr>
          <w:rFonts w:ascii="仿宋_GB2312" w:hAnsi="仿宋_GB2312" w:cs="仿宋_GB2312" w:eastAsia="仿宋_GB2312"/>
        </w:rPr>
        <w:t>联系电话：17691172318</w:t>
      </w:r>
    </w:p>
    <w:p>
      <w:pPr>
        <w:pStyle w:val="null3"/>
      </w:pPr>
      <w:r>
        <w:rPr>
          <w:rFonts w:ascii="仿宋_GB2312" w:hAnsi="仿宋_GB2312" w:cs="仿宋_GB2312" w:eastAsia="仿宋_GB2312"/>
        </w:rPr>
        <w:t>地址：铜川市印台区惠民佳苑8号楼2楼</w:t>
      </w:r>
    </w:p>
    <w:p>
      <w:pPr>
        <w:pStyle w:val="null3"/>
      </w:pPr>
      <w:r>
        <w:rPr>
          <w:rFonts w:ascii="仿宋_GB2312" w:hAnsi="仿宋_GB2312" w:cs="仿宋_GB2312" w:eastAsia="仿宋_GB2312"/>
        </w:rPr>
        <w:t>邮编：727000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王益区黄堡镇逸夫小学供暖锅炉</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395,100.00</w:t>
      </w:r>
    </w:p>
    <w:p>
      <w:pPr>
        <w:pStyle w:val="null3"/>
      </w:pPr>
      <w:r>
        <w:rPr>
          <w:rFonts w:ascii="仿宋_GB2312" w:hAnsi="仿宋_GB2312" w:cs="仿宋_GB2312" w:eastAsia="仿宋_GB2312"/>
        </w:rPr>
        <w:t>采购包最高限价（元）: 395,100.00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395100.00</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395,100.00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标的名称：395100.00</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w:t>
            </w:r>
          </w:p>
        </w:tc>
        <w:tc>
          <w:tcPr>
            <w:tcW w:type="dxa" w:w="2769"/>
          </w:tcPr>
          <w:tbl>
            <w:tblPr>
              <w:tblBorders>
                <w:top w:val="none" w:color="000000" w:sz="4"/>
                <w:left w:val="none" w:color="000000" w:sz="4"/>
                <w:bottom w:val="none" w:color="000000" w:sz="4"/>
                <w:right w:val="none" w:color="000000" w:sz="4"/>
                <w:insideH w:val="none"/>
                <w:insideV w:val="none"/>
              </w:tblBorders>
            </w:tblPr>
            <w:tblGrid>
              <w:gridCol w:w="193"/>
              <w:gridCol w:w="400"/>
              <w:gridCol w:w="921"/>
              <w:gridCol w:w="223"/>
              <w:gridCol w:w="375"/>
              <w:gridCol w:w="439"/>
            </w:tblGrid>
            <w:tr>
              <w:tc>
                <w:tcPr>
                  <w:tcW w:type="dxa" w:w="193"/>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序号</w:t>
                  </w:r>
                </w:p>
              </w:tc>
              <w:tc>
                <w:tcPr>
                  <w:tcW w:type="dxa" w:w="400"/>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设备名称</w:t>
                  </w:r>
                </w:p>
              </w:tc>
              <w:tc>
                <w:tcPr>
                  <w:tcW w:type="dxa" w:w="921"/>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规格型号</w:t>
                  </w:r>
                </w:p>
              </w:tc>
              <w:tc>
                <w:tcPr>
                  <w:tcW w:type="dxa" w:w="223"/>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数量</w:t>
                  </w:r>
                  <w:r>
                    <w:rPr>
                      <w:rFonts w:ascii="仿宋_GB2312" w:hAnsi="仿宋_GB2312" w:cs="仿宋_GB2312" w:eastAsia="仿宋_GB2312"/>
                      <w:sz w:val="21"/>
                      <w:color w:val="000000"/>
                    </w:rPr>
                    <w:t>/</w:t>
                  </w:r>
                  <w:r>
                    <w:rPr>
                      <w:rFonts w:ascii="仿宋_GB2312" w:hAnsi="仿宋_GB2312" w:cs="仿宋_GB2312" w:eastAsia="仿宋_GB2312"/>
                      <w:sz w:val="21"/>
                      <w:color w:val="000000"/>
                    </w:rPr>
                    <w:t>单位</w:t>
                  </w:r>
                </w:p>
              </w:tc>
              <w:tc>
                <w:tcPr>
                  <w:tcW w:type="dxa" w:w="375"/>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单价</w:t>
                  </w:r>
                  <w:r>
                    <w:rPr>
                      <w:rFonts w:ascii="仿宋_GB2312" w:hAnsi="仿宋_GB2312" w:cs="仿宋_GB2312" w:eastAsia="仿宋_GB2312"/>
                      <w:sz w:val="21"/>
                      <w:color w:val="000000"/>
                    </w:rPr>
                    <w:t>限价</w:t>
                  </w:r>
                  <w:r>
                    <w:rPr>
                      <w:rFonts w:ascii="仿宋_GB2312" w:hAnsi="仿宋_GB2312" w:cs="仿宋_GB2312" w:eastAsia="仿宋_GB2312"/>
                      <w:sz w:val="21"/>
                      <w:color w:val="000000"/>
                    </w:rPr>
                    <w:t>（元）</w:t>
                  </w:r>
                </w:p>
              </w:tc>
              <w:tc>
                <w:tcPr>
                  <w:tcW w:type="dxa" w:w="439"/>
                  <w:tcBorders>
                    <w:top w:val="singl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合价</w:t>
                  </w:r>
                  <w:r>
                    <w:rPr>
                      <w:rFonts w:ascii="仿宋_GB2312" w:hAnsi="仿宋_GB2312" w:cs="仿宋_GB2312" w:eastAsia="仿宋_GB2312"/>
                      <w:sz w:val="21"/>
                      <w:color w:val="000000"/>
                    </w:rPr>
                    <w:t>限价</w:t>
                  </w:r>
                </w:p>
                <w:p>
                  <w:pPr>
                    <w:pStyle w:val="null3"/>
                    <w:jc w:val="center"/>
                  </w:pPr>
                  <w:r>
                    <w:rPr>
                      <w:rFonts w:ascii="仿宋_GB2312" w:hAnsi="仿宋_GB2312" w:cs="仿宋_GB2312" w:eastAsia="仿宋_GB2312"/>
                      <w:sz w:val="21"/>
                      <w:color w:val="000000"/>
                    </w:rPr>
                    <w:t>（元）</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1.</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全预混高效冷凝锅炉</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1、额定输出功率：</w:t>
                  </w:r>
                  <w:r>
                    <w:rPr>
                      <w:rFonts w:ascii="仿宋_GB2312" w:hAnsi="仿宋_GB2312" w:cs="仿宋_GB2312" w:eastAsia="仿宋_GB2312"/>
                      <w:sz w:val="21"/>
                      <w:color w:val="000000"/>
                    </w:rPr>
                    <w:t>1050</w:t>
                  </w:r>
                  <w:r>
                    <w:rPr>
                      <w:rFonts w:ascii="仿宋_GB2312" w:hAnsi="仿宋_GB2312" w:cs="仿宋_GB2312" w:eastAsia="仿宋_GB2312"/>
                      <w:sz w:val="21"/>
                      <w:color w:val="000000"/>
                    </w:rPr>
                    <w:t>KW；</w:t>
                  </w:r>
                </w:p>
                <w:p>
                  <w:pPr>
                    <w:pStyle w:val="null3"/>
                    <w:jc w:val="left"/>
                  </w:pPr>
                  <w:r>
                    <w:rPr>
                      <w:rFonts w:ascii="仿宋_GB2312" w:hAnsi="仿宋_GB2312" w:cs="仿宋_GB2312" w:eastAsia="仿宋_GB2312"/>
                      <w:sz w:val="21"/>
                      <w:color w:val="000000"/>
                    </w:rPr>
                    <w:t>2、热效率：≥10</w:t>
                  </w:r>
                  <w:r>
                    <w:rPr>
                      <w:rFonts w:ascii="仿宋_GB2312" w:hAnsi="仿宋_GB2312" w:cs="仿宋_GB2312" w:eastAsia="仿宋_GB2312"/>
                      <w:sz w:val="21"/>
                      <w:color w:val="000000"/>
                    </w:rPr>
                    <w:t>7</w:t>
                  </w:r>
                  <w:r>
                    <w:rPr>
                      <w:rFonts w:ascii="仿宋_GB2312" w:hAnsi="仿宋_GB2312" w:cs="仿宋_GB2312" w:eastAsia="仿宋_GB2312"/>
                      <w:sz w:val="21"/>
                      <w:color w:val="000000"/>
                    </w:rPr>
                    <w:t>%；</w:t>
                  </w:r>
                </w:p>
                <w:p>
                  <w:pPr>
                    <w:pStyle w:val="null3"/>
                    <w:jc w:val="left"/>
                  </w:pPr>
                  <w:r>
                    <w:rPr>
                      <w:rFonts w:ascii="仿宋_GB2312" w:hAnsi="仿宋_GB2312" w:cs="仿宋_GB2312" w:eastAsia="仿宋_GB2312"/>
                      <w:sz w:val="21"/>
                      <w:color w:val="000000"/>
                    </w:rPr>
                    <w:t>3、燃气压力：</w:t>
                  </w:r>
                  <w:r>
                    <w:rPr>
                      <w:rFonts w:ascii="仿宋_GB2312" w:hAnsi="仿宋_GB2312" w:cs="仿宋_GB2312" w:eastAsia="仿宋_GB2312"/>
                      <w:sz w:val="21"/>
                      <w:color w:val="000000"/>
                    </w:rPr>
                    <w:t>3-7</w:t>
                  </w:r>
                  <w:r>
                    <w:rPr>
                      <w:rFonts w:ascii="仿宋_GB2312" w:hAnsi="仿宋_GB2312" w:cs="仿宋_GB2312" w:eastAsia="仿宋_GB2312"/>
                      <w:sz w:val="21"/>
                      <w:color w:val="000000"/>
                    </w:rPr>
                    <w:t>KPa；</w:t>
                  </w:r>
                </w:p>
                <w:p>
                  <w:pPr>
                    <w:pStyle w:val="null3"/>
                    <w:jc w:val="left"/>
                  </w:pPr>
                  <w:r>
                    <w:rPr>
                      <w:rFonts w:ascii="仿宋_GB2312" w:hAnsi="仿宋_GB2312" w:cs="仿宋_GB2312" w:eastAsia="仿宋_GB2312"/>
                      <w:sz w:val="21"/>
                      <w:color w:val="000000"/>
                    </w:rPr>
                    <w:t>4、NOx排放：≤30mg；</w:t>
                  </w:r>
                </w:p>
                <w:p>
                  <w:pPr>
                    <w:pStyle w:val="null3"/>
                    <w:spacing w:after="120"/>
                    <w:jc w:val="both"/>
                  </w:pPr>
                  <w:r>
                    <w:rPr>
                      <w:rFonts w:ascii="仿宋_GB2312" w:hAnsi="仿宋_GB2312" w:cs="仿宋_GB2312" w:eastAsia="仿宋_GB2312"/>
                      <w:sz w:val="21"/>
                      <w:color w:val="000000"/>
                    </w:rPr>
                    <w:t>5</w:t>
                  </w:r>
                  <w:r>
                    <w:rPr>
                      <w:rFonts w:ascii="仿宋_GB2312" w:hAnsi="仿宋_GB2312" w:cs="仿宋_GB2312" w:eastAsia="仿宋_GB2312"/>
                      <w:sz w:val="21"/>
                      <w:color w:val="000000"/>
                    </w:rPr>
                    <w:t>、运行压力：常压；</w:t>
                  </w:r>
                </w:p>
                <w:p>
                  <w:pPr>
                    <w:pStyle w:val="null3"/>
                    <w:spacing w:after="120"/>
                    <w:jc w:val="both"/>
                  </w:pPr>
                  <w:r>
                    <w:rPr>
                      <w:rFonts w:ascii="仿宋_GB2312" w:hAnsi="仿宋_GB2312" w:cs="仿宋_GB2312" w:eastAsia="仿宋_GB2312"/>
                      <w:sz w:val="21"/>
                      <w:color w:val="000000"/>
                    </w:rPr>
                    <w:t>6</w:t>
                  </w:r>
                  <w:r>
                    <w:rPr>
                      <w:rFonts w:ascii="仿宋_GB2312" w:hAnsi="仿宋_GB2312" w:cs="仿宋_GB2312" w:eastAsia="仿宋_GB2312"/>
                      <w:sz w:val="21"/>
                      <w:color w:val="000000"/>
                    </w:rPr>
                    <w:t>、最大燃气消耗：≥</w:t>
                  </w:r>
                  <w:r>
                    <w:rPr>
                      <w:rFonts w:ascii="仿宋_GB2312" w:hAnsi="仿宋_GB2312" w:cs="仿宋_GB2312" w:eastAsia="仿宋_GB2312"/>
                      <w:sz w:val="21"/>
                      <w:color w:val="000000"/>
                    </w:rPr>
                    <w:t>1</w:t>
                  </w:r>
                  <w:r>
                    <w:rPr>
                      <w:rFonts w:ascii="仿宋_GB2312" w:hAnsi="仿宋_GB2312" w:cs="仿宋_GB2312" w:eastAsia="仿宋_GB2312"/>
                      <w:sz w:val="21"/>
                      <w:color w:val="000000"/>
                    </w:rPr>
                    <w:t>00Nm3/h</w:t>
                  </w:r>
                  <w:r>
                    <w:rPr>
                      <w:rFonts w:ascii="仿宋_GB2312" w:hAnsi="仿宋_GB2312" w:cs="仿宋_GB2312" w:eastAsia="仿宋_GB2312"/>
                      <w:sz w:val="21"/>
                      <w:color w:val="000000"/>
                    </w:rPr>
                    <w:t>；</w:t>
                  </w:r>
                </w:p>
                <w:p>
                  <w:pPr>
                    <w:pStyle w:val="null3"/>
                    <w:spacing w:after="120"/>
                    <w:jc w:val="both"/>
                  </w:pPr>
                  <w:r>
                    <w:rPr>
                      <w:rFonts w:ascii="仿宋_GB2312" w:hAnsi="仿宋_GB2312" w:cs="仿宋_GB2312" w:eastAsia="仿宋_GB2312"/>
                      <w:sz w:val="21"/>
                      <w:color w:val="000000"/>
                    </w:rPr>
                    <w:t>7</w:t>
                  </w:r>
                  <w:r>
                    <w:rPr>
                      <w:rFonts w:ascii="仿宋_GB2312" w:hAnsi="仿宋_GB2312" w:cs="仿宋_GB2312" w:eastAsia="仿宋_GB2312"/>
                      <w:sz w:val="21"/>
                      <w:color w:val="000000"/>
                    </w:rPr>
                    <w:t>、炉片材质：硅铸铝；</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272000</w:t>
                  </w:r>
                  <w:r>
                    <w:rPr>
                      <w:rFonts w:ascii="仿宋_GB2312" w:hAnsi="仿宋_GB2312" w:cs="仿宋_GB2312" w:eastAsia="仿宋_GB2312"/>
                      <w:sz w:val="21"/>
                      <w:color w:val="000000"/>
                    </w:rPr>
                    <w:t>.</w:t>
                  </w:r>
                  <w:r>
                    <w:rPr>
                      <w:rFonts w:ascii="仿宋_GB2312" w:hAnsi="仿宋_GB2312" w:cs="仿宋_GB2312" w:eastAsia="仿宋_GB2312"/>
                      <w:sz w:val="21"/>
                      <w:color w:val="000000"/>
                    </w:rPr>
                    <w:t>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272000.00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2.</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一次</w:t>
                  </w:r>
                  <w:r>
                    <w:rPr>
                      <w:rFonts w:ascii="仿宋_GB2312" w:hAnsi="仿宋_GB2312" w:cs="仿宋_GB2312" w:eastAsia="仿宋_GB2312"/>
                      <w:sz w:val="21"/>
                      <w:color w:val="000000"/>
                    </w:rPr>
                    <w:t>循环泵</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Q=50m</w:t>
                  </w:r>
                  <w:r>
                    <w:rPr>
                      <w:rFonts w:ascii="仿宋_GB2312" w:hAnsi="仿宋_GB2312" w:cs="仿宋_GB2312" w:eastAsia="仿宋_GB2312"/>
                      <w:sz w:val="21"/>
                      <w:color w:val="000000"/>
                      <w:vertAlign w:val="superscript"/>
                    </w:rPr>
                    <w:t>3</w:t>
                  </w:r>
                  <w:r>
                    <w:rPr>
                      <w:rFonts w:ascii="仿宋_GB2312" w:hAnsi="仿宋_GB2312" w:cs="仿宋_GB2312" w:eastAsia="仿宋_GB2312"/>
                      <w:sz w:val="21"/>
                      <w:color w:val="000000"/>
                    </w:rPr>
                    <w:t>/h，H=20m，N＝5.5KW</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6800.00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13600.00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3.</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锅炉补水箱</w:t>
                  </w:r>
                </w:p>
                <w:p>
                  <w:pPr>
                    <w:pStyle w:val="null3"/>
                    <w:jc w:val="center"/>
                  </w:pPr>
                  <w:r>
                    <w:rPr>
                      <w:rFonts w:ascii="仿宋_GB2312" w:hAnsi="仿宋_GB2312" w:cs="仿宋_GB2312" w:eastAsia="仿宋_GB2312"/>
                      <w:sz w:val="21"/>
                      <w:color w:val="000000"/>
                    </w:rPr>
                    <w:t>（高架设置）</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500×400×600mm</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1500.00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1500.00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4.</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软水机</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单阀单罐，流量型</w:t>
                  </w:r>
                  <w:r>
                    <w:rPr>
                      <w:rFonts w:ascii="仿宋_GB2312" w:hAnsi="仿宋_GB2312" w:cs="仿宋_GB2312" w:eastAsia="仿宋_GB2312"/>
                      <w:sz w:val="21"/>
                      <w:color w:val="000000"/>
                    </w:rPr>
                    <w:t>2</w:t>
                  </w:r>
                  <w:r>
                    <w:rPr>
                      <w:rFonts w:ascii="仿宋_GB2312" w:hAnsi="仿宋_GB2312" w:cs="仿宋_GB2312" w:eastAsia="仿宋_GB2312"/>
                      <w:sz w:val="21"/>
                      <w:color w:val="000000"/>
                    </w:rPr>
                    <w:t>T</w:t>
                  </w:r>
                  <w:r>
                    <w:rPr>
                      <w:rFonts w:ascii="仿宋_GB2312" w:hAnsi="仿宋_GB2312" w:cs="仿宋_GB2312" w:eastAsia="仿宋_GB2312"/>
                      <w:sz w:val="21"/>
                      <w:color w:val="000000"/>
                    </w:rPr>
                    <w:t>/</w:t>
                  </w:r>
                  <w:r>
                    <w:rPr>
                      <w:rFonts w:ascii="仿宋_GB2312" w:hAnsi="仿宋_GB2312" w:cs="仿宋_GB2312" w:eastAsia="仿宋_GB2312"/>
                      <w:sz w:val="21"/>
                      <w:color w:val="000000"/>
                    </w:rPr>
                    <w:t>h</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套</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6500.00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6500.00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5.</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系统补水箱</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1T</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3500.00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3500.00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6.</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采暖</w:t>
                  </w:r>
                  <w:r>
                    <w:rPr>
                      <w:rFonts w:ascii="仿宋_GB2312" w:hAnsi="仿宋_GB2312" w:cs="仿宋_GB2312" w:eastAsia="仿宋_GB2312"/>
                      <w:sz w:val="21"/>
                      <w:color w:val="000000"/>
                    </w:rPr>
                    <w:t>板式换热器</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单台换热器量：</w:t>
                  </w:r>
                  <w:r>
                    <w:rPr>
                      <w:rFonts w:ascii="仿宋_GB2312" w:hAnsi="仿宋_GB2312" w:cs="仿宋_GB2312" w:eastAsia="仿宋_GB2312"/>
                      <w:sz w:val="21"/>
                      <w:color w:val="000000"/>
                    </w:rPr>
                    <w:t>100</w:t>
                  </w:r>
                  <w:r>
                    <w:rPr>
                      <w:rFonts w:ascii="仿宋_GB2312" w:hAnsi="仿宋_GB2312" w:cs="仿宋_GB2312" w:eastAsia="仿宋_GB2312"/>
                      <w:sz w:val="21"/>
                      <w:color w:val="000000"/>
                    </w:rPr>
                    <w:t>0</w:t>
                  </w:r>
                  <w:r>
                    <w:rPr>
                      <w:rFonts w:ascii="仿宋_GB2312" w:hAnsi="仿宋_GB2312" w:cs="仿宋_GB2312" w:eastAsia="仿宋_GB2312"/>
                      <w:sz w:val="21"/>
                      <w:color w:val="000000"/>
                    </w:rPr>
                    <w:t>KW，一次侧设计供回水温度：</w:t>
                  </w:r>
                  <w:r>
                    <w:rPr>
                      <w:rFonts w:ascii="仿宋_GB2312" w:hAnsi="仿宋_GB2312" w:cs="仿宋_GB2312" w:eastAsia="仿宋_GB2312"/>
                      <w:sz w:val="21"/>
                      <w:color w:val="000000"/>
                    </w:rPr>
                    <w:t>8</w:t>
                  </w:r>
                  <w:r>
                    <w:rPr>
                      <w:rFonts w:ascii="仿宋_GB2312" w:hAnsi="仿宋_GB2312" w:cs="仿宋_GB2312" w:eastAsia="仿宋_GB2312"/>
                      <w:sz w:val="21"/>
                      <w:color w:val="000000"/>
                    </w:rPr>
                    <w:t>0</w:t>
                  </w:r>
                  <w:r>
                    <w:rPr>
                      <w:rFonts w:ascii="仿宋_GB2312" w:hAnsi="仿宋_GB2312" w:cs="仿宋_GB2312" w:eastAsia="仿宋_GB2312"/>
                      <w:sz w:val="21"/>
                      <w:color w:val="000000"/>
                    </w:rPr>
                    <w:t>-</w:t>
                  </w:r>
                  <w:r>
                    <w:rPr>
                      <w:rFonts w:ascii="仿宋_GB2312" w:hAnsi="仿宋_GB2312" w:cs="仿宋_GB2312" w:eastAsia="仿宋_GB2312"/>
                      <w:sz w:val="21"/>
                      <w:color w:val="000000"/>
                    </w:rPr>
                    <w:t>6</w:t>
                  </w:r>
                  <w:r>
                    <w:rPr>
                      <w:rFonts w:ascii="仿宋_GB2312" w:hAnsi="仿宋_GB2312" w:cs="仿宋_GB2312" w:eastAsia="仿宋_GB2312"/>
                      <w:sz w:val="21"/>
                      <w:color w:val="000000"/>
                    </w:rPr>
                    <w:t>0</w:t>
                  </w:r>
                  <w:r>
                    <w:rPr>
                      <w:rFonts w:ascii="仿宋_GB2312" w:hAnsi="仿宋_GB2312" w:cs="仿宋_GB2312" w:eastAsia="仿宋_GB2312"/>
                      <w:sz w:val="21"/>
                      <w:color w:val="000000"/>
                    </w:rPr>
                    <w:t>℃</w:t>
                  </w:r>
                  <w:r>
                    <w:rPr>
                      <w:rFonts w:ascii="仿宋_GB2312" w:hAnsi="仿宋_GB2312" w:cs="仿宋_GB2312" w:eastAsia="仿宋_GB2312"/>
                      <w:sz w:val="21"/>
                      <w:color w:val="000000"/>
                    </w:rPr>
                    <w:t>，二次侧设计供回水温度</w:t>
                  </w:r>
                  <w:r>
                    <w:rPr>
                      <w:rFonts w:ascii="仿宋_GB2312" w:hAnsi="仿宋_GB2312" w:cs="仿宋_GB2312" w:eastAsia="仿宋_GB2312"/>
                      <w:sz w:val="21"/>
                      <w:color w:val="000000"/>
                    </w:rPr>
                    <w:t>70</w:t>
                  </w:r>
                  <w:r>
                    <w:rPr>
                      <w:rFonts w:ascii="仿宋_GB2312" w:hAnsi="仿宋_GB2312" w:cs="仿宋_GB2312" w:eastAsia="仿宋_GB2312"/>
                      <w:sz w:val="21"/>
                      <w:color w:val="000000"/>
                    </w:rPr>
                    <w:t>-</w:t>
                  </w:r>
                  <w:r>
                    <w:rPr>
                      <w:rFonts w:ascii="仿宋_GB2312" w:hAnsi="仿宋_GB2312" w:cs="仿宋_GB2312" w:eastAsia="仿宋_GB2312"/>
                      <w:sz w:val="21"/>
                      <w:color w:val="000000"/>
                    </w:rPr>
                    <w:t>60</w:t>
                  </w:r>
                  <w:r>
                    <w:rPr>
                      <w:rFonts w:ascii="仿宋_GB2312" w:hAnsi="仿宋_GB2312" w:cs="仿宋_GB2312" w:eastAsia="仿宋_GB2312"/>
                      <w:sz w:val="21"/>
                      <w:color w:val="000000"/>
                    </w:rPr>
                    <w:t>℃</w:t>
                  </w:r>
                  <w:r>
                    <w:rPr>
                      <w:rFonts w:ascii="仿宋_GB2312" w:hAnsi="仿宋_GB2312" w:cs="仿宋_GB2312" w:eastAsia="仿宋_GB2312"/>
                      <w:sz w:val="21"/>
                      <w:color w:val="000000"/>
                    </w:rPr>
                    <w:t>，承压</w:t>
                  </w:r>
                  <w:r>
                    <w:rPr>
                      <w:rFonts w:ascii="仿宋_GB2312" w:hAnsi="仿宋_GB2312" w:cs="仿宋_GB2312" w:eastAsia="仿宋_GB2312"/>
                      <w:sz w:val="21"/>
                      <w:color w:val="000000"/>
                    </w:rPr>
                    <w:t>1.0MPa，水侧阻力＜5mH</w:t>
                  </w:r>
                  <w:r>
                    <w:rPr>
                      <w:rFonts w:ascii="仿宋_GB2312" w:hAnsi="仿宋_GB2312" w:cs="仿宋_GB2312" w:eastAsia="仿宋_GB2312"/>
                      <w:sz w:val="21"/>
                      <w:color w:val="000000"/>
                      <w:vertAlign w:val="subscript"/>
                    </w:rPr>
                    <w:t>2</w:t>
                  </w:r>
                  <w:r>
                    <w:rPr>
                      <w:rFonts w:ascii="仿宋_GB2312" w:hAnsi="仿宋_GB2312" w:cs="仿宋_GB2312" w:eastAsia="仿宋_GB2312"/>
                      <w:sz w:val="21"/>
                      <w:color w:val="000000"/>
                    </w:rPr>
                    <w:t>O</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13000.00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13000.00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7.</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二次供暖</w:t>
                  </w:r>
                  <w:r>
                    <w:rPr>
                      <w:rFonts w:ascii="仿宋_GB2312" w:hAnsi="仿宋_GB2312" w:cs="仿宋_GB2312" w:eastAsia="仿宋_GB2312"/>
                      <w:sz w:val="21"/>
                      <w:color w:val="000000"/>
                    </w:rPr>
                    <w:t>循环泵</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Q=50m</w:t>
                  </w:r>
                  <w:r>
                    <w:rPr>
                      <w:rFonts w:ascii="仿宋_GB2312" w:hAnsi="仿宋_GB2312" w:cs="仿宋_GB2312" w:eastAsia="仿宋_GB2312"/>
                      <w:sz w:val="21"/>
                      <w:color w:val="000000"/>
                      <w:vertAlign w:val="superscript"/>
                    </w:rPr>
                    <w:t>3</w:t>
                  </w:r>
                  <w:r>
                    <w:rPr>
                      <w:rFonts w:ascii="仿宋_GB2312" w:hAnsi="仿宋_GB2312" w:cs="仿宋_GB2312" w:eastAsia="仿宋_GB2312"/>
                      <w:sz w:val="21"/>
                      <w:color w:val="000000"/>
                    </w:rPr>
                    <w:t>/h，H=</w:t>
                  </w:r>
                  <w:r>
                    <w:rPr>
                      <w:rFonts w:ascii="仿宋_GB2312" w:hAnsi="仿宋_GB2312" w:cs="仿宋_GB2312" w:eastAsia="仿宋_GB2312"/>
                      <w:sz w:val="21"/>
                      <w:color w:val="000000"/>
                    </w:rPr>
                    <w:t>32</w:t>
                  </w:r>
                  <w:r>
                    <w:rPr>
                      <w:rFonts w:ascii="仿宋_GB2312" w:hAnsi="仿宋_GB2312" w:cs="仿宋_GB2312" w:eastAsia="仿宋_GB2312"/>
                      <w:sz w:val="21"/>
                      <w:color w:val="000000"/>
                    </w:rPr>
                    <w:t>m，N＝7.5KW</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8500.00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17000.00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8.</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补水多级泵</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Q=</w:t>
                  </w:r>
                  <w:r>
                    <w:rPr>
                      <w:rFonts w:ascii="仿宋_GB2312" w:hAnsi="仿宋_GB2312" w:cs="仿宋_GB2312" w:eastAsia="仿宋_GB2312"/>
                      <w:sz w:val="21"/>
                      <w:color w:val="000000"/>
                    </w:rPr>
                    <w:t>2</w:t>
                  </w:r>
                  <w:r>
                    <w:rPr>
                      <w:rFonts w:ascii="仿宋_GB2312" w:hAnsi="仿宋_GB2312" w:cs="仿宋_GB2312" w:eastAsia="仿宋_GB2312"/>
                      <w:sz w:val="21"/>
                      <w:color w:val="000000"/>
                    </w:rPr>
                    <w:t>m³/h，H=</w:t>
                  </w:r>
                  <w:r>
                    <w:rPr>
                      <w:rFonts w:ascii="仿宋_GB2312" w:hAnsi="仿宋_GB2312" w:cs="仿宋_GB2312" w:eastAsia="仿宋_GB2312"/>
                      <w:sz w:val="21"/>
                      <w:color w:val="000000"/>
                    </w:rPr>
                    <w:t>56</w:t>
                  </w:r>
                  <w:r>
                    <w:rPr>
                      <w:rFonts w:ascii="仿宋_GB2312" w:hAnsi="仿宋_GB2312" w:cs="仿宋_GB2312" w:eastAsia="仿宋_GB2312"/>
                      <w:sz w:val="21"/>
                      <w:color w:val="000000"/>
                    </w:rPr>
                    <w:t>m，N＝</w:t>
                  </w:r>
                  <w:r>
                    <w:rPr>
                      <w:rFonts w:ascii="仿宋_GB2312" w:hAnsi="仿宋_GB2312" w:cs="仿宋_GB2312" w:eastAsia="仿宋_GB2312"/>
                      <w:sz w:val="21"/>
                      <w:color w:val="000000"/>
                    </w:rPr>
                    <w:t>0.75</w:t>
                  </w:r>
                  <w:r>
                    <w:rPr>
                      <w:rFonts w:ascii="仿宋_GB2312" w:hAnsi="仿宋_GB2312" w:cs="仿宋_GB2312" w:eastAsia="仿宋_GB2312"/>
                      <w:sz w:val="21"/>
                      <w:color w:val="000000"/>
                    </w:rPr>
                    <w:t>KW</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w:t>
                  </w:r>
                  <w:r>
                    <w:rPr>
                      <w:rFonts w:ascii="仿宋_GB2312" w:hAnsi="仿宋_GB2312" w:cs="仿宋_GB2312" w:eastAsia="仿宋_GB2312"/>
                      <w:sz w:val="21"/>
                      <w:color w:val="000000"/>
                    </w:rPr>
                    <w:t>台</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3500.00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9.</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配电</w:t>
                  </w:r>
                  <w:r>
                    <w:rPr>
                      <w:rFonts w:ascii="仿宋_GB2312" w:hAnsi="仿宋_GB2312" w:cs="仿宋_GB2312" w:eastAsia="仿宋_GB2312"/>
                      <w:sz w:val="21"/>
                      <w:color w:val="000000"/>
                    </w:rPr>
                    <w:t>控制</w:t>
                  </w:r>
                  <w:r>
                    <w:rPr>
                      <w:rFonts w:ascii="仿宋_GB2312" w:hAnsi="仿宋_GB2312" w:cs="仿宋_GB2312" w:eastAsia="仿宋_GB2312"/>
                      <w:sz w:val="21"/>
                      <w:color w:val="000000"/>
                    </w:rPr>
                    <w:t>柜</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主要电气元件采用</w:t>
                  </w:r>
                  <w:r>
                    <w:rPr>
                      <w:rFonts w:ascii="仿宋_GB2312" w:hAnsi="仿宋_GB2312" w:cs="仿宋_GB2312" w:eastAsia="仿宋_GB2312"/>
                      <w:sz w:val="21"/>
                      <w:color w:val="000000"/>
                    </w:rPr>
                    <w:t>正</w:t>
                  </w:r>
                  <w:r>
                    <w:rPr>
                      <w:rFonts w:ascii="仿宋_GB2312" w:hAnsi="仿宋_GB2312" w:cs="仿宋_GB2312" w:eastAsia="仿宋_GB2312"/>
                      <w:sz w:val="21"/>
                      <w:color w:val="000000"/>
                    </w:rPr>
                    <w:t>品</w:t>
                  </w:r>
                  <w:r>
                    <w:rPr>
                      <w:rFonts w:ascii="仿宋_GB2312" w:hAnsi="仿宋_GB2312" w:cs="仿宋_GB2312" w:eastAsia="仿宋_GB2312"/>
                      <w:sz w:val="21"/>
                      <w:color w:val="000000"/>
                    </w:rPr>
                    <w:t>，配套变频器采用</w:t>
                  </w:r>
                  <w:r>
                    <w:rPr>
                      <w:rFonts w:ascii="仿宋_GB2312" w:hAnsi="仿宋_GB2312" w:cs="仿宋_GB2312" w:eastAsia="仿宋_GB2312"/>
                      <w:sz w:val="21"/>
                      <w:color w:val="000000"/>
                    </w:rPr>
                    <w:t>正规</w:t>
                  </w:r>
                  <w:r>
                    <w:rPr>
                      <w:rFonts w:ascii="仿宋_GB2312" w:hAnsi="仿宋_GB2312" w:cs="仿宋_GB2312" w:eastAsia="仿宋_GB2312"/>
                      <w:sz w:val="21"/>
                      <w:color w:val="000000"/>
                    </w:rPr>
                    <w:t>品牌</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项</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12000</w:t>
                  </w:r>
                  <w:r>
                    <w:rPr>
                      <w:rFonts w:ascii="仿宋_GB2312" w:hAnsi="仿宋_GB2312" w:cs="仿宋_GB2312" w:eastAsia="仿宋_GB2312"/>
                      <w:sz w:val="21"/>
                      <w:color w:val="000000"/>
                    </w:rPr>
                    <w:t>.00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12000.00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10.</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线缆</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项</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w:t>
                  </w:r>
                  <w:r>
                    <w:rPr>
                      <w:rFonts w:ascii="仿宋_GB2312" w:hAnsi="仿宋_GB2312" w:cs="仿宋_GB2312" w:eastAsia="仿宋_GB2312"/>
                      <w:sz w:val="21"/>
                      <w:color w:val="000000"/>
                    </w:rPr>
                    <w:t>000.00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w:t>
                  </w:r>
                  <w:r>
                    <w:rPr>
                      <w:rFonts w:ascii="仿宋_GB2312" w:hAnsi="仿宋_GB2312" w:cs="仿宋_GB2312" w:eastAsia="仿宋_GB2312"/>
                      <w:sz w:val="21"/>
                      <w:color w:val="000000"/>
                    </w:rPr>
                    <w:t>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11.</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烟囱</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w:t>
                  </w:r>
                  <w:r>
                    <w:rPr>
                      <w:rFonts w:ascii="仿宋_GB2312" w:hAnsi="仿宋_GB2312" w:cs="仿宋_GB2312" w:eastAsia="仿宋_GB2312"/>
                      <w:sz w:val="21"/>
                      <w:color w:val="000000"/>
                    </w:rPr>
                    <w:t>250</w:t>
                  </w:r>
                  <w:r>
                    <w:rPr>
                      <w:rFonts w:ascii="仿宋_GB2312" w:hAnsi="仿宋_GB2312" w:cs="仿宋_GB2312" w:eastAsia="仿宋_GB2312"/>
                      <w:sz w:val="21"/>
                      <w:color w:val="000000"/>
                    </w:rPr>
                    <w:t>*</w:t>
                  </w:r>
                  <w:r>
                    <w:rPr>
                      <w:rFonts w:ascii="仿宋_GB2312" w:hAnsi="仿宋_GB2312" w:cs="仿宋_GB2312" w:eastAsia="仿宋_GB2312"/>
                      <w:sz w:val="21"/>
                      <w:color w:val="000000"/>
                    </w:rPr>
                    <w:t>1</w:t>
                  </w:r>
                  <w:r>
                    <w:rPr>
                      <w:rFonts w:ascii="仿宋_GB2312" w:hAnsi="仿宋_GB2312" w:cs="仿宋_GB2312" w:eastAsia="仿宋_GB2312"/>
                      <w:sz w:val="21"/>
                      <w:color w:val="000000"/>
                    </w:rPr>
                    <w:t>根主烟道；配有检测孔、防爆孔</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项</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12.</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主材</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阀门、仪表、管件管材、支架、保温等</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r>
                    <w:rPr>
                      <w:rFonts w:ascii="仿宋_GB2312" w:hAnsi="仿宋_GB2312" w:cs="仿宋_GB2312" w:eastAsia="仿宋_GB2312"/>
                      <w:sz w:val="21"/>
                      <w:color w:val="000000"/>
                    </w:rPr>
                    <w:t>项</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16000.00</w:t>
                  </w:r>
                </w:p>
              </w:tc>
              <w:tc>
                <w:tcPr>
                  <w:tcW w:type="dxa" w:w="439"/>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16000.00</w:t>
                  </w:r>
                </w:p>
              </w:tc>
            </w:tr>
            <w:tr>
              <w:tc>
                <w:tcPr>
                  <w:tcW w:type="dxa" w:w="193"/>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left="420"/>
                    <w:jc w:val="center"/>
                  </w:pPr>
                  <w:r>
                    <w:rPr>
                      <w:rFonts w:ascii="仿宋_GB2312" w:hAnsi="仿宋_GB2312" w:cs="仿宋_GB2312" w:eastAsia="仿宋_GB2312"/>
                      <w:sz w:val="21"/>
                      <w:color w:val="000000"/>
                    </w:rPr>
                    <w:t>13.</w:t>
                  </w:r>
                </w:p>
              </w:tc>
              <w:tc>
                <w:tcPr>
                  <w:tcW w:type="dxa" w:w="400"/>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安装费</w:t>
                  </w:r>
                </w:p>
              </w:tc>
              <w:tc>
                <w:tcPr>
                  <w:tcW w:type="dxa" w:w="921"/>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含旧设备拆除</w:t>
                  </w:r>
                </w:p>
              </w:tc>
              <w:tc>
                <w:tcPr>
                  <w:tcW w:type="dxa" w:w="22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1项</w:t>
                  </w:r>
                </w:p>
              </w:tc>
              <w:tc>
                <w:tcPr>
                  <w:tcW w:type="dxa" w:w="375"/>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28000.00</w:t>
                  </w:r>
                </w:p>
              </w:tc>
              <w:tc>
                <w:tcPr>
                  <w:tcW w:type="dxa" w:w="43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28000.00</w:t>
                  </w:r>
                </w:p>
              </w:tc>
            </w:tr>
            <w:tr>
              <w:tc>
                <w:tcPr>
                  <w:tcW w:type="dxa" w:w="593"/>
                  <w:gridSpan w:val="2"/>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总价限价（元）</w:t>
                  </w:r>
                </w:p>
              </w:tc>
              <w:tc>
                <w:tcPr>
                  <w:tcW w:type="dxa" w:w="1519"/>
                  <w:gridSpan w:val="3"/>
                  <w:tcBorders>
                    <w:top w:val="none" w:color="000000" w:sz="4"/>
                    <w:left w:val="non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大写：叁拾玖万伍仟壹佰元整</w:t>
                  </w:r>
                </w:p>
              </w:tc>
              <w:tc>
                <w:tcPr>
                  <w:tcW w:type="dxa" w:w="439"/>
                  <w:tcBorders>
                    <w:top w:val="non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395100</w:t>
                  </w:r>
                  <w:r>
                    <w:rPr>
                      <w:rFonts w:ascii="仿宋_GB2312" w:hAnsi="仿宋_GB2312" w:cs="仿宋_GB2312" w:eastAsia="仿宋_GB2312"/>
                      <w:sz w:val="21"/>
                      <w:color w:val="000000"/>
                    </w:rPr>
                    <w:t>.00</w:t>
                  </w:r>
                </w:p>
              </w:tc>
            </w:tr>
          </w:tbl>
          <w:p>
            <w:pPr>
              <w:pStyle w:val="null3"/>
            </w:pPr>
            <w:r>
              <w:drawing>
                <wp:inline distT="0" distR="0" distB="0" distL="0">
                  <wp:extent cx="1621155" cy="229255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2292552"/>
                          </a:xfrm>
                          <a:prstGeom prst="rect">
                            <a:avLst/>
                          </a:prstGeom>
                        </pic:spPr>
                      </pic:pic>
                    </a:graphicData>
                  </a:graphic>
                </wp:inline>
              </w:drawing>
            </w:r>
          </w:p>
          <w:p>
            <w:pPr>
              <w:pStyle w:val="null3"/>
            </w:pPr>
            <w:r>
              <w:rPr>
                <w:rFonts w:ascii="仿宋_GB2312" w:hAnsi="仿宋_GB2312" w:cs="仿宋_GB2312" w:eastAsia="仿宋_GB2312"/>
              </w:rPr>
              <w:t xml:space="preserve"> </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自合同签订之日起10日历天</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采购人指定地点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项目完成验收合格后</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第一个采暖季后设备运行正常</w:t>
      </w:r>
      <w:r>
        <w:rPr>
          <w:rFonts w:ascii="仿宋_GB2312" w:hAnsi="仿宋_GB2312" w:cs="仿宋_GB2312" w:eastAsia="仿宋_GB2312"/>
        </w:rPr>
        <w:t xml:space="preserve"> ，达到付款条件起 </w:t>
      </w:r>
      <w:r>
        <w:rPr>
          <w:rFonts w:ascii="仿宋_GB2312" w:hAnsi="仿宋_GB2312" w:cs="仿宋_GB2312" w:eastAsia="仿宋_GB2312"/>
        </w:rPr>
        <w:t>60</w:t>
      </w:r>
      <w:r>
        <w:rPr>
          <w:rFonts w:ascii="仿宋_GB2312" w:hAnsi="仿宋_GB2312" w:cs="仿宋_GB2312" w:eastAsia="仿宋_GB2312"/>
        </w:rPr>
        <w:t xml:space="preserve"> 日内，支付合同总金额的 </w:t>
      </w:r>
      <w:r>
        <w:rPr>
          <w:rFonts w:ascii="仿宋_GB2312" w:hAnsi="仿宋_GB2312" w:cs="仿宋_GB2312" w:eastAsia="仿宋_GB2312"/>
        </w:rPr>
        <w:t>60.00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（1）保证技术指标先进、质量性能可靠，全面满足招标要求； （2）环保要求：符合国家安全环保标准、国家有关产品质量认证标准。没有国家标准的，采用该产品有关行业标准（取最高标准）。 （3）供应商须提供全新的货物（含零部件、配件等），包装完好、表面无划伤、无碰撞痕迹。 （4）货物制造质量出现问题，乙方应负责三包（包修、包退、包换），费用由乙方负担。</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保修期：2个采暖季</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1.按《中华人民共和国民法典》中的相关条款执行。 2.成交供应商未按合同要求执行、质量不能满足要求，采购人可根据成交供应商的违约情况，调整成交供应商的供货范围或取消其服务资格，并终止合同，并对供方违约行为进行追究，同时按《政府采购法》的有关规定进行处罚。</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近三年任一年度的经会计师事务所或审计机构审计的财务审计报告(包括审计报告、资产负债表、利润表、现金流量表、所有者权益变动表、附注等全部内容，成立时间至提交响应文件截止时间不足一年的可提供成立后任意时段的资产负债表)和财务情况说明书，或投标截止日前六个月内其基本存款账户开户银行出具的资信证明，或信用担保机构出具的投标担保函；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提供有效存续的企业营业执照（副本）/事业单位法人证书/专业服务机构执业许可证/民办非企业单位登记证书（以上四种形式的资料提供任何一种即可），自然人提供身份证；</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近三年任一年度的经会计师事务所或审计机构审计的财务审计报告(包括审计报告、资产负债表、利润表、现金流量表、所有者权益变动表、附注等全部内容，成立时间至提交响应文件截止时间不足一年的可提供成立后任意时段的资产负债表)和财务情况说明书，或投标截止日前六个月内其基本存款账户开户银行出具的资信证明，或信用担保机构出具的投标担保函；</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有依法缴纳税收的良好记录</w:t>
            </w:r>
          </w:p>
        </w:tc>
        <w:tc>
          <w:tcPr>
            <w:tcW w:type="dxa" w:w="3322"/>
          </w:tcPr>
          <w:p>
            <w:pPr>
              <w:pStyle w:val="null3"/>
            </w:pPr>
            <w:r>
              <w:rPr>
                <w:rFonts w:ascii="仿宋_GB2312" w:hAnsi="仿宋_GB2312" w:cs="仿宋_GB2312" w:eastAsia="仿宋_GB2312"/>
              </w:rPr>
              <w:t>提供投标截止日前近六个月内已缴存的至少一个月的社会保障资金缴存单据或社保机构开具的社会保险参保缴费情况证明；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有依法缴纳社会保障资金的良好记录</w:t>
            </w:r>
          </w:p>
        </w:tc>
        <w:tc>
          <w:tcPr>
            <w:tcW w:type="dxa" w:w="3322"/>
          </w:tcPr>
          <w:p>
            <w:pPr>
              <w:pStyle w:val="null3"/>
            </w:pPr>
            <w:r>
              <w:rPr>
                <w:rFonts w:ascii="仿宋_GB2312" w:hAnsi="仿宋_GB2312" w:cs="仿宋_GB2312" w:eastAsia="仿宋_GB2312"/>
              </w:rPr>
              <w:t>提供投标截止日前近六个月内已缴纳的至少一个月的纳税证明或完税证明（提供增值税、营业税、企业所得税中的至少一种），纳税证明或完税证明上应有代收机构或税务机关的公章或业务专用章。依法免税的单位应提供相关证明材料；</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具有履行合同所必需的设备和专业技术能力</w:t>
            </w:r>
          </w:p>
        </w:tc>
        <w:tc>
          <w:tcPr>
            <w:tcW w:type="dxa" w:w="3322"/>
          </w:tcPr>
          <w:p>
            <w:pPr>
              <w:pStyle w:val="null3"/>
            </w:pPr>
            <w:r>
              <w:rPr>
                <w:rFonts w:ascii="仿宋_GB2312" w:hAnsi="仿宋_GB2312" w:cs="仿宋_GB2312" w:eastAsia="仿宋_GB2312"/>
              </w:rPr>
              <w:t>提供具有履行合同所必需的设备和专业技术能力的书面声明；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法定代表人证明书或法定代表人授权书</w:t>
            </w:r>
          </w:p>
        </w:tc>
        <w:tc>
          <w:tcPr>
            <w:tcW w:type="dxa" w:w="3322"/>
          </w:tcPr>
          <w:p>
            <w:pPr>
              <w:pStyle w:val="null3"/>
            </w:pPr>
            <w:r>
              <w:rPr>
                <w:rFonts w:ascii="仿宋_GB2312" w:hAnsi="仿宋_GB2312" w:cs="仿宋_GB2312" w:eastAsia="仿宋_GB2312"/>
              </w:rPr>
              <w:t>法定代表人参加投标的，须提供法定代表人证明书及本人身份证复印件；法定代表人授权他人参加投标的，须提供法定代表人授权委托书并出示授权代表的身份证复印件。采购文件中凡是需要法定代表人签字盖章之处，非法人单位的负责人均参照执行；</w:t>
            </w:r>
          </w:p>
        </w:tc>
        <w:tc>
          <w:tcPr>
            <w:tcW w:type="dxa" w:w="1661"/>
          </w:tcPr>
          <w:p>
            <w:pPr>
              <w:pStyle w:val="null3"/>
            </w:pPr>
            <w:r>
              <w:rPr>
                <w:rFonts w:ascii="仿宋_GB2312" w:hAnsi="仿宋_GB2312" w:cs="仿宋_GB2312" w:eastAsia="仿宋_GB2312"/>
              </w:rPr>
              <w:t>法人授权书.docx 法人证明书.docx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参加本次政府采购活动前3年内在经营活动中没有重大违法记录或被起诉</w:t>
            </w:r>
          </w:p>
        </w:tc>
        <w:tc>
          <w:tcPr>
            <w:tcW w:type="dxa" w:w="3322"/>
          </w:tcPr>
          <w:p>
            <w:pPr>
              <w:pStyle w:val="null3"/>
            </w:pPr>
            <w:r>
              <w:rPr>
                <w:rFonts w:ascii="仿宋_GB2312" w:hAnsi="仿宋_GB2312" w:cs="仿宋_GB2312" w:eastAsia="仿宋_GB2312"/>
              </w:rPr>
              <w:t>提供参加本次政府采购活动前3年内在经营活动中没有重大违法记录或被起诉的书面声明；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本项目不接受联合体投标</w:t>
            </w:r>
          </w:p>
        </w:tc>
        <w:tc>
          <w:tcPr>
            <w:tcW w:type="dxa" w:w="3322"/>
          </w:tcPr>
          <w:p>
            <w:pPr>
              <w:pStyle w:val="null3"/>
            </w:pPr>
            <w:r>
              <w:rPr>
                <w:rFonts w:ascii="仿宋_GB2312" w:hAnsi="仿宋_GB2312" w:cs="仿宋_GB2312" w:eastAsia="仿宋_GB2312"/>
              </w:rPr>
              <w:t>提供非联合体承诺书。</w:t>
            </w:r>
          </w:p>
        </w:tc>
        <w:tc>
          <w:tcPr>
            <w:tcW w:type="dxa" w:w="1661"/>
          </w:tcPr>
          <w:p>
            <w:pPr>
              <w:pStyle w:val="null3"/>
            </w:pPr>
            <w:r>
              <w:rPr>
                <w:rFonts w:ascii="仿宋_GB2312" w:hAnsi="仿宋_GB2312" w:cs="仿宋_GB2312" w:eastAsia="仿宋_GB2312"/>
              </w:rPr>
              <w:t>投标人应提交的相关资格证明材料</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明显低于其他实质性响应的投标人报价，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 2.投标人提交的相关说明和证明材料，应当加盖投标人（法定名称）电子印章，在评标委员会要求的时间内通过项目电子化交易系统进行提交，否则提交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签名、盖章</w:t>
            </w:r>
          </w:p>
        </w:tc>
        <w:tc>
          <w:tcPr>
            <w:tcW w:type="dxa" w:w="3322"/>
          </w:tcPr>
          <w:p>
            <w:pPr>
              <w:pStyle w:val="null3"/>
            </w:pPr>
            <w:r>
              <w:rPr>
                <w:rFonts w:ascii="仿宋_GB2312" w:hAnsi="仿宋_GB2312" w:cs="仿宋_GB2312" w:eastAsia="仿宋_GB2312"/>
              </w:rPr>
              <w:t>投标单位必须按照招标文件的规定和要求在投标文件中指定的页面落款处加盖公章、法定代表人或被授权人签名（或盖章），其余页面逐页盖公章，否则将作为无效投标文件处理。招标文件凡是要求法定代表人签名或盖章之处，非法人单位的负责人均参照执行。</w:t>
            </w:r>
          </w:p>
        </w:tc>
        <w:tc>
          <w:tcPr>
            <w:tcW w:type="dxa" w:w="1661"/>
          </w:tcPr>
          <w:p>
            <w:pPr>
              <w:pStyle w:val="null3"/>
            </w:pPr>
            <w:r>
              <w:rPr>
                <w:rFonts w:ascii="仿宋_GB2312" w:hAnsi="仿宋_GB2312" w:cs="仿宋_GB2312" w:eastAsia="仿宋_GB2312"/>
              </w:rPr>
              <w:t>开标一览表 技术方案.docx 法人证明书.docx 供应商类似项目业绩一览表.docx 中小企业声明函 商务应答表 投标人应提交的相关资格证明材料 法人授权书.docx 产品技术参数表 投标函 残疾人福利性单位声明函 标的清单 投标文件封面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供货期</w:t>
            </w:r>
          </w:p>
        </w:tc>
        <w:tc>
          <w:tcPr>
            <w:tcW w:type="dxa" w:w="3322"/>
          </w:tcPr>
          <w:p>
            <w:pPr>
              <w:pStyle w:val="null3"/>
            </w:pPr>
            <w:r>
              <w:rPr>
                <w:rFonts w:ascii="仿宋_GB2312" w:hAnsi="仿宋_GB2312" w:cs="仿宋_GB2312" w:eastAsia="仿宋_GB2312"/>
              </w:rPr>
              <w:t>自合同签订之日起10日历天。</w:t>
            </w:r>
          </w:p>
        </w:tc>
        <w:tc>
          <w:tcPr>
            <w:tcW w:type="dxa" w:w="1661"/>
          </w:tcPr>
          <w:p>
            <w:pPr>
              <w:pStyle w:val="null3"/>
            </w:pPr>
            <w:r>
              <w:rPr>
                <w:rFonts w:ascii="仿宋_GB2312" w:hAnsi="仿宋_GB2312" w:cs="仿宋_GB2312" w:eastAsia="仿宋_GB2312"/>
              </w:rPr>
              <w:t>开标一览表 商务应答表 标的清单</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报价</w:t>
            </w:r>
          </w:p>
        </w:tc>
        <w:tc>
          <w:tcPr>
            <w:tcW w:type="dxa" w:w="3322"/>
          </w:tcPr>
          <w:p>
            <w:pPr>
              <w:pStyle w:val="null3"/>
            </w:pPr>
            <w:r>
              <w:rPr>
                <w:rFonts w:ascii="仿宋_GB2312" w:hAnsi="仿宋_GB2312" w:cs="仿宋_GB2312" w:eastAsia="仿宋_GB2312"/>
              </w:rPr>
              <w:t>投标报价不能高于最高限价</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其他</w:t>
            </w:r>
          </w:p>
        </w:tc>
        <w:tc>
          <w:tcPr>
            <w:tcW w:type="dxa" w:w="3322"/>
          </w:tcPr>
          <w:p>
            <w:pPr>
              <w:pStyle w:val="null3"/>
            </w:pPr>
            <w:r>
              <w:rPr>
                <w:rFonts w:ascii="仿宋_GB2312" w:hAnsi="仿宋_GB2312" w:cs="仿宋_GB2312" w:eastAsia="仿宋_GB2312"/>
              </w:rPr>
              <w:t>A、投标人的投标报价有选择性报价或者投标报价重新计算后超过本项目采购预算或者最高限价的； B、投标人未经过正常渠道领取招标文件，或投标人名称与领取招标文件时登记的投标人名称不符的； C、投标人针对同一项目递交两份或多份内容不同的投标文件，未书面声明哪一份是有效的或出现选择性报价的； D、提供虚假资质、虚假资料、虚假证明（包括第三方提供的虚假证明）；出现虚假应答、承诺、声明的，除按无效投标文件处理外，还将按照政府采购的有关规定进行处罚； E、投标人在商务响应方面附加了采购单位难以接受的条件或条款的； F、在政府采购或其它重大项目履约过程中有不良记录或未能按期履约的； G、投标人使用虚假印章或印章无法证实为真实有效； H、报价子目出现漏项或报价与要求不符的； I、提供虚假技术性能指标。J、实质性内容不满足、未完全未响应招标要求或擅自改动采购清单的； K、投标文件的关键内容字迹模糊、无法辨认的； L、不符合法律、法规规定的其它实质性要求的。</w:t>
            </w:r>
          </w:p>
        </w:tc>
        <w:tc>
          <w:tcPr>
            <w:tcW w:type="dxa" w:w="1661"/>
          </w:tcPr>
          <w:p>
            <w:pPr>
              <w:pStyle w:val="null3"/>
            </w:pPr>
            <w:r>
              <w:rPr>
                <w:rFonts w:ascii="仿宋_GB2312" w:hAnsi="仿宋_GB2312" w:cs="仿宋_GB2312" w:eastAsia="仿宋_GB2312"/>
              </w:rPr>
              <w:t>开标一览表 技术方案.docx 法人证明书.docx 供应商类似项目业绩一览表.docx 中小企业声明函 商务应答表 投标人应提交的相关资格证明材料 法人授权书.docx 产品技术参数表 投标函 残疾人福利性单位声明函 标的清单 投标文件封面 监狱企业的证明文件</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商务响应</w:t>
            </w:r>
          </w:p>
        </w:tc>
        <w:tc>
          <w:tcPr>
            <w:tcW w:type="dxa" w:w="2492"/>
          </w:tcPr>
          <w:p>
            <w:pPr>
              <w:pStyle w:val="null3"/>
            </w:pPr>
            <w:r>
              <w:rPr>
                <w:rFonts w:ascii="仿宋_GB2312" w:hAnsi="仿宋_GB2312" w:cs="仿宋_GB2312" w:eastAsia="仿宋_GB2312"/>
              </w:rPr>
              <w:t>经过有效性和符合性审核合格的供应商，其商务条款响应符合招标文件要求的计5分。不完全响应的计0分。</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项目业绩</w:t>
            </w:r>
          </w:p>
        </w:tc>
        <w:tc>
          <w:tcPr>
            <w:tcW w:type="dxa" w:w="2492"/>
          </w:tcPr>
          <w:p>
            <w:pPr>
              <w:pStyle w:val="null3"/>
            </w:pPr>
            <w:r>
              <w:rPr>
                <w:rFonts w:ascii="仿宋_GB2312" w:hAnsi="仿宋_GB2312" w:cs="仿宋_GB2312" w:eastAsia="仿宋_GB2312"/>
              </w:rPr>
              <w:t>提供2022年1月至今已完工的同类业绩（提供中标通知书或合同复印件加盖公章）。每提供一份计2分，计满8分为止。不能提供的不得分。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供应商类似项目业绩一览表.docx</w:t>
            </w:r>
          </w:p>
        </w:tc>
      </w:tr>
      <w:tr>
        <w:tc>
          <w:tcPr>
            <w:tcW w:type="dxa" w:w="831"/>
            <w:vMerge/>
          </w:tcPr>
          <w:p/>
        </w:tc>
        <w:tc>
          <w:tcPr>
            <w:tcW w:type="dxa" w:w="1661"/>
          </w:tcPr>
          <w:p>
            <w:pPr>
              <w:pStyle w:val="null3"/>
            </w:pPr>
            <w:r>
              <w:rPr>
                <w:rFonts w:ascii="仿宋_GB2312" w:hAnsi="仿宋_GB2312" w:cs="仿宋_GB2312" w:eastAsia="仿宋_GB2312"/>
              </w:rPr>
              <w:t>实力证明</w:t>
            </w:r>
          </w:p>
        </w:tc>
        <w:tc>
          <w:tcPr>
            <w:tcW w:type="dxa" w:w="2492"/>
          </w:tcPr>
          <w:p>
            <w:pPr>
              <w:pStyle w:val="null3"/>
            </w:pPr>
            <w:r>
              <w:rPr>
                <w:rFonts w:ascii="仿宋_GB2312" w:hAnsi="仿宋_GB2312" w:cs="仿宋_GB2312" w:eastAsia="仿宋_GB2312"/>
              </w:rPr>
              <w:t>投标人需具备《中华人民共和国特种设备生产许可证（锅炉安装）》B级及以上资质；提供计2分，不能提供的不得分。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技术方案.docx</w:t>
            </w:r>
          </w:p>
        </w:tc>
      </w:tr>
      <w:tr>
        <w:tc>
          <w:tcPr>
            <w:tcW w:type="dxa" w:w="831"/>
            <w:vMerge/>
          </w:tcPr>
          <w:p/>
        </w:tc>
        <w:tc>
          <w:tcPr>
            <w:tcW w:type="dxa" w:w="1661"/>
          </w:tcPr>
          <w:p>
            <w:pPr>
              <w:pStyle w:val="null3"/>
            </w:pPr>
            <w:r>
              <w:rPr>
                <w:rFonts w:ascii="仿宋_GB2312" w:hAnsi="仿宋_GB2312" w:cs="仿宋_GB2312" w:eastAsia="仿宋_GB2312"/>
              </w:rPr>
              <w:t>实施方案及质量保证</w:t>
            </w:r>
          </w:p>
        </w:tc>
        <w:tc>
          <w:tcPr>
            <w:tcW w:type="dxa" w:w="2492"/>
          </w:tcPr>
          <w:p>
            <w:pPr>
              <w:pStyle w:val="null3"/>
            </w:pPr>
            <w:r>
              <w:rPr>
                <w:rFonts w:ascii="仿宋_GB2312" w:hAnsi="仿宋_GB2312" w:cs="仿宋_GB2312" w:eastAsia="仿宋_GB2312"/>
              </w:rPr>
              <w:t>1、划分实施计划阶段，提供项目部署，计0.1-3分，未提供不得分。 2、提供产品合法来源证明材料（不限于厂家授权、功能截图、检测报告、产品彩页、合格证等）。每提供一个产品的计0.5分，最高计5分，未提供不得分。 3、提供质量保证措施，计0.1-3分，未提供不得分。 4、提供有效期内的燃气燃烧器具安装维修许可证。提供计1分，不提供不得分。 5、配备专业人员，人员须提供相关证书，如安全员、安全生产管理人员、燃气燃烧器具安装维修工。每提供一个得1分，最高得3分。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技术方案.docx</w:t>
            </w:r>
          </w:p>
        </w:tc>
      </w:tr>
      <w:tr>
        <w:tc>
          <w:tcPr>
            <w:tcW w:type="dxa" w:w="831"/>
            <w:vMerge/>
          </w:tcPr>
          <w:p/>
        </w:tc>
        <w:tc>
          <w:tcPr>
            <w:tcW w:type="dxa" w:w="1661"/>
          </w:tcPr>
          <w:p>
            <w:pPr>
              <w:pStyle w:val="null3"/>
            </w:pPr>
            <w:r>
              <w:rPr>
                <w:rFonts w:ascii="仿宋_GB2312" w:hAnsi="仿宋_GB2312" w:cs="仿宋_GB2312" w:eastAsia="仿宋_GB2312"/>
              </w:rPr>
              <w:t>技术参数响应</w:t>
            </w:r>
          </w:p>
        </w:tc>
        <w:tc>
          <w:tcPr>
            <w:tcW w:type="dxa" w:w="2492"/>
          </w:tcPr>
          <w:p>
            <w:pPr>
              <w:pStyle w:val="null3"/>
            </w:pPr>
            <w:r>
              <w:rPr>
                <w:rFonts w:ascii="仿宋_GB2312" w:hAnsi="仿宋_GB2312" w:cs="仿宋_GB2312" w:eastAsia="仿宋_GB2312"/>
              </w:rPr>
              <w:t>投标人技术参数完全响应招标文件要求的，计6分，技术参数每有一项存在负偏离的扣0.5分，扣完为止。</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tc>
      </w:tr>
      <w:tr>
        <w:tc>
          <w:tcPr>
            <w:tcW w:type="dxa" w:w="831"/>
            <w:vMerge/>
          </w:tcPr>
          <w:p/>
        </w:tc>
        <w:tc>
          <w:tcPr>
            <w:tcW w:type="dxa" w:w="1661"/>
          </w:tcPr>
          <w:p>
            <w:pPr>
              <w:pStyle w:val="null3"/>
            </w:pPr>
            <w:r>
              <w:rPr>
                <w:rFonts w:ascii="仿宋_GB2312" w:hAnsi="仿宋_GB2312" w:cs="仿宋_GB2312" w:eastAsia="仿宋_GB2312"/>
              </w:rPr>
              <w:t>服务方案</w:t>
            </w:r>
          </w:p>
        </w:tc>
        <w:tc>
          <w:tcPr>
            <w:tcW w:type="dxa" w:w="2492"/>
          </w:tcPr>
          <w:p>
            <w:pPr>
              <w:pStyle w:val="null3"/>
            </w:pPr>
            <w:r>
              <w:rPr>
                <w:rFonts w:ascii="仿宋_GB2312" w:hAnsi="仿宋_GB2312" w:cs="仿宋_GB2312" w:eastAsia="仿宋_GB2312"/>
              </w:rPr>
              <w:t>1、专业服务团队情况：包含人员名单、职责、分工等，提供计0.1-3分，未提供不得分。 2、针对本项目实际需求提供售后服务方案及承诺，提供计0.1-3分，未提供不得分。 3、制定与本项目实施切合的管理制度，提供计0.1-3分，未提供不得分。 4、售后服务网点：提供售后服务中心的名称、地址、电话、联系人、维修人员名单。办公地点提供相关证明材料如：房产证复印件或房屋租赁合同。（以上完全提供得2分，不完全提供不得分） 5、安装调试方案： ①提供安装调试方案，严格按照生产厂家出具的使用说明进行安装调试并提供相应标准，提供计0.1-3分，不提供不得分。 ②安装调试工具配置情况，提供计0.1-3分，不提供不得分。 ③安装调试过程中对产品的保护措施，提供计0.1-3分，不提供不得分。 6.培训售后方案 ①售后服务组织机构及人员配置方案，提供计0.1-3分，不提供不得分。 ②提供保修期外至全寿命周期内零配件及备品备件供应方案及承诺函，提供计0.1-3分，不提供不得分。</w:t>
            </w:r>
          </w:p>
        </w:tc>
        <w:tc>
          <w:tcPr>
            <w:tcW w:type="dxa" w:w="831"/>
          </w:tcPr>
          <w:p>
            <w:pPr>
              <w:pStyle w:val="null3"/>
              <w:jc w:val="right"/>
            </w:pPr>
            <w:r>
              <w:rPr>
                <w:rFonts w:ascii="仿宋_GB2312" w:hAnsi="仿宋_GB2312" w:cs="仿宋_GB2312" w:eastAsia="仿宋_GB2312"/>
              </w:rPr>
              <w:t>26.0000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技术方案.docx</w:t>
            </w:r>
          </w:p>
        </w:tc>
      </w:tr>
      <w:tr>
        <w:tc>
          <w:tcPr>
            <w:tcW w:type="dxa" w:w="831"/>
            <w:vMerge/>
          </w:tcPr>
          <w:p/>
        </w:tc>
        <w:tc>
          <w:tcPr>
            <w:tcW w:type="dxa" w:w="1661"/>
          </w:tcPr>
          <w:p>
            <w:pPr>
              <w:pStyle w:val="null3"/>
            </w:pPr>
            <w:r>
              <w:rPr>
                <w:rFonts w:ascii="仿宋_GB2312" w:hAnsi="仿宋_GB2312" w:cs="仿宋_GB2312" w:eastAsia="仿宋_GB2312"/>
              </w:rPr>
              <w:t>应急事故响应及处理方案</w:t>
            </w:r>
          </w:p>
        </w:tc>
        <w:tc>
          <w:tcPr>
            <w:tcW w:type="dxa" w:w="2492"/>
          </w:tcPr>
          <w:p>
            <w:pPr>
              <w:pStyle w:val="null3"/>
            </w:pPr>
            <w:r>
              <w:rPr>
                <w:rFonts w:ascii="仿宋_GB2312" w:hAnsi="仿宋_GB2312" w:cs="仿宋_GB2312" w:eastAsia="仿宋_GB2312"/>
              </w:rPr>
              <w:t>1、可能发生的应急事故情况分析，提供计0.1-3分，不提供不得分。 2、应急响应时间能完全保障设备故障后的运行，投标人在接到电话1小时内作出响应并可赶至现场解决问题的得2分；2小时内响应的得1分，超过2小时响应的不得分。 3、紧急安全保障措施，提供计0.1-3分，不提供不得分。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技术方案.docx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价格分统一采用低价优先法计算，即满足招标文件要求且最终报价最低的投标评审价为投标基准价，其价格分为满分。其他供应商的价格分统一按照下列公式计算： 有效报价得分=（投标基准价/投标评审价）×价格权值×100 注：符合招标文件规定的中小企业、监狱企业、残疾人福利性单位优惠条件的投标人，单项产品价格给予10%的扣除，用扣除后的价格参与评审。</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详见附件：投标人应提交的相关资格证明材料</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详见附件：法人证明书.docx</w:t>
      </w:r>
    </w:p>
    <w:p>
      <w:pPr>
        <w:pStyle w:val="null3"/>
        <w:ind w:firstLine="960"/>
      </w:pPr>
      <w:r>
        <w:rPr>
          <w:rFonts w:ascii="仿宋_GB2312" w:hAnsi="仿宋_GB2312" w:cs="仿宋_GB2312" w:eastAsia="仿宋_GB2312"/>
        </w:rPr>
        <w:t>详见附件：法人授权书.docx</w:t>
      </w:r>
    </w:p>
    <w:p>
      <w:pPr>
        <w:pStyle w:val="null3"/>
        <w:ind w:firstLine="960"/>
      </w:pPr>
      <w:r>
        <w:rPr>
          <w:rFonts w:ascii="仿宋_GB2312" w:hAnsi="仿宋_GB2312" w:cs="仿宋_GB2312" w:eastAsia="仿宋_GB2312"/>
        </w:rPr>
        <w:t>详见附件：供应商类似项目业绩一览表.docx</w:t>
      </w:r>
    </w:p>
    <w:p>
      <w:pPr>
        <w:pStyle w:val="null3"/>
        <w:ind w:firstLine="960"/>
      </w:pPr>
      <w:r>
        <w:rPr>
          <w:rFonts w:ascii="仿宋_GB2312" w:hAnsi="仿宋_GB2312" w:cs="仿宋_GB2312" w:eastAsia="仿宋_GB2312"/>
        </w:rPr>
        <w:t>详见附件：技术方案.docx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详见附件：合同模板.docx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