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A29C">
      <w:pPr>
        <w:jc w:val="right"/>
        <w:rPr>
          <w:rFonts w:hint="eastAsia" w:ascii="方正小标宋简体" w:hAnsi="宋体" w:eastAsia="方正小标宋简体" w:cs="仿宋"/>
          <w:b/>
          <w:sz w:val="32"/>
          <w:szCs w:val="32"/>
          <w:highlight w:val="none"/>
          <w:bdr w:val="single" w:color="auto" w:sz="4" w:space="0"/>
          <w:shd w:val="pct10" w:color="auto" w:fill="FFFFFF"/>
        </w:rPr>
      </w:pPr>
      <w:r>
        <w:rPr>
          <w:rFonts w:hint="eastAsia" w:ascii="方正小标宋简体" w:hAnsi="宋体" w:eastAsia="方正小标宋简体" w:cs="仿宋"/>
          <w:b/>
          <w:sz w:val="32"/>
          <w:szCs w:val="32"/>
          <w:highlight w:val="none"/>
          <w:bdr w:val="single" w:color="auto" w:sz="4" w:space="0"/>
          <w:shd w:val="pct10" w:color="auto" w:fill="FFFFFF"/>
        </w:rPr>
        <w:t>政府采购项目</w:t>
      </w:r>
    </w:p>
    <w:p w14:paraId="3F0E18DB">
      <w:pPr>
        <w:jc w:val="center"/>
        <w:rPr>
          <w:rFonts w:hint="eastAsia" w:ascii="宋体" w:hAnsi="宋体" w:eastAsia="宋体" w:cs="仿宋"/>
          <w:sz w:val="44"/>
          <w:szCs w:val="44"/>
          <w:highlight w:val="none"/>
        </w:rPr>
      </w:pPr>
    </w:p>
    <w:p w14:paraId="1ADC6FC3">
      <w:pPr>
        <w:jc w:val="center"/>
        <w:rPr>
          <w:rFonts w:hint="eastAsia" w:ascii="宋体" w:hAnsi="宋体" w:eastAsia="宋体" w:cs="仿宋"/>
          <w:sz w:val="44"/>
          <w:szCs w:val="44"/>
          <w:highlight w:val="none"/>
        </w:rPr>
      </w:pPr>
    </w:p>
    <w:p w14:paraId="5CBD25EB">
      <w:pPr>
        <w:jc w:val="center"/>
        <w:rPr>
          <w:rFonts w:hint="eastAsia" w:ascii="方正小标宋简体" w:hAnsi="宋体" w:eastAsia="方正小标宋简体" w:cs="仿宋"/>
          <w:b/>
          <w:sz w:val="52"/>
          <w:szCs w:val="52"/>
          <w:highlight w:val="none"/>
        </w:rPr>
      </w:pPr>
      <w:r>
        <w:rPr>
          <w:rFonts w:hint="eastAsia" w:ascii="方正小标宋简体" w:hAnsi="宋体" w:eastAsia="方正小标宋简体" w:cs="宋体"/>
          <w:b/>
          <w:spacing w:val="-42"/>
          <w:sz w:val="52"/>
          <w:szCs w:val="52"/>
          <w:highlight w:val="none"/>
          <w:u w:val="single"/>
        </w:rPr>
        <w:t xml:space="preserve">                                </w:t>
      </w:r>
      <w:r>
        <w:rPr>
          <w:rFonts w:hint="eastAsia" w:ascii="方正小标宋简体" w:hAnsi="宋体" w:eastAsia="方正小标宋简体" w:cs="宋体"/>
          <w:b/>
          <w:spacing w:val="-42"/>
          <w:sz w:val="52"/>
          <w:szCs w:val="52"/>
          <w:highlight w:val="none"/>
        </w:rPr>
        <w:t>项目</w:t>
      </w:r>
    </w:p>
    <w:p w14:paraId="5F648E0C">
      <w:pPr>
        <w:spacing w:line="360" w:lineRule="auto"/>
        <w:jc w:val="center"/>
        <w:rPr>
          <w:rFonts w:hint="eastAsia" w:ascii="方正小标宋简体" w:hAnsi="宋体" w:eastAsia="方正小标宋简体" w:cs="仿宋"/>
          <w:b/>
          <w:spacing w:val="241"/>
          <w:kern w:val="0"/>
          <w:sz w:val="72"/>
          <w:szCs w:val="72"/>
          <w:highlight w:val="none"/>
        </w:rPr>
      </w:pPr>
    </w:p>
    <w:p w14:paraId="2FAA4EDB">
      <w:pPr>
        <w:widowControl w:val="0"/>
        <w:jc w:val="both"/>
        <w:rPr>
          <w:rFonts w:ascii="Calibri" w:hAnsi="Calibri" w:eastAsia="宋体" w:cs="Times New Roman"/>
          <w:kern w:val="2"/>
          <w:sz w:val="21"/>
          <w:szCs w:val="22"/>
          <w:highlight w:val="none"/>
          <w:lang w:val="en-US" w:eastAsia="zh-CN" w:bidi="ar-SA"/>
        </w:rPr>
      </w:pPr>
    </w:p>
    <w:p w14:paraId="33A00200">
      <w:pPr>
        <w:widowControl w:val="0"/>
        <w:jc w:val="both"/>
        <w:rPr>
          <w:rFonts w:ascii="Calibri" w:hAnsi="Calibri" w:eastAsia="宋体" w:cs="Times New Roman"/>
          <w:kern w:val="2"/>
          <w:sz w:val="21"/>
          <w:szCs w:val="22"/>
          <w:highlight w:val="none"/>
          <w:lang w:val="en-US" w:eastAsia="zh-CN" w:bidi="ar-SA"/>
        </w:rPr>
      </w:pPr>
    </w:p>
    <w:p w14:paraId="1C7976B2">
      <w:pPr>
        <w:spacing w:line="360" w:lineRule="auto"/>
        <w:jc w:val="center"/>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pacing w:val="242"/>
          <w:kern w:val="0"/>
          <w:sz w:val="72"/>
          <w:szCs w:val="72"/>
          <w:highlight w:val="none"/>
          <w:fitText w:val="4337" w:id="1096036578"/>
        </w:rPr>
        <w:t>供货合</w:t>
      </w:r>
      <w:r>
        <w:rPr>
          <w:rFonts w:hint="eastAsia" w:ascii="方正小标宋简体" w:hAnsi="宋体" w:eastAsia="方正小标宋简体" w:cs="仿宋"/>
          <w:b/>
          <w:spacing w:val="2"/>
          <w:kern w:val="0"/>
          <w:sz w:val="72"/>
          <w:szCs w:val="72"/>
          <w:highlight w:val="none"/>
          <w:fitText w:val="4337" w:id="1096036578"/>
        </w:rPr>
        <w:t>同</w:t>
      </w:r>
    </w:p>
    <w:p w14:paraId="7ACB4315">
      <w:pPr>
        <w:spacing w:line="360" w:lineRule="auto"/>
        <w:rPr>
          <w:rFonts w:hint="eastAsia" w:ascii="方正小标宋简体" w:hAnsi="宋体" w:eastAsia="方正小标宋简体" w:cs="仿宋"/>
          <w:b/>
          <w:sz w:val="32"/>
          <w:szCs w:val="32"/>
          <w:highlight w:val="none"/>
        </w:rPr>
      </w:pPr>
    </w:p>
    <w:p w14:paraId="62D97436">
      <w:pPr>
        <w:widowControl w:val="0"/>
        <w:jc w:val="both"/>
        <w:rPr>
          <w:rFonts w:ascii="Calibri" w:hAnsi="Calibri" w:eastAsia="宋体" w:cs="Times New Roman"/>
          <w:kern w:val="2"/>
          <w:sz w:val="21"/>
          <w:szCs w:val="22"/>
          <w:highlight w:val="none"/>
          <w:lang w:val="en-US" w:eastAsia="zh-CN" w:bidi="ar-SA"/>
        </w:rPr>
      </w:pPr>
    </w:p>
    <w:p w14:paraId="4B4C37EC">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项目编号：</w:t>
      </w:r>
    </w:p>
    <w:p w14:paraId="460A3FB0">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 xml:space="preserve">合同编号：    </w:t>
      </w:r>
    </w:p>
    <w:p w14:paraId="57FC2C28">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买    方：卖    方：</w:t>
      </w:r>
    </w:p>
    <w:p w14:paraId="0036E3F6">
      <w:pPr>
        <w:widowControl w:val="0"/>
        <w:jc w:val="both"/>
        <w:rPr>
          <w:rFonts w:ascii="方正小标宋简体" w:hAnsi="Calibri" w:eastAsia="方正小标宋简体" w:cs="Times New Roman"/>
          <w:kern w:val="2"/>
          <w:sz w:val="21"/>
          <w:szCs w:val="22"/>
          <w:highlight w:val="none"/>
          <w:lang w:val="en-US" w:eastAsia="zh-CN" w:bidi="ar-SA"/>
        </w:rPr>
      </w:pPr>
    </w:p>
    <w:p w14:paraId="54D3F748">
      <w:pPr>
        <w:widowControl w:val="0"/>
        <w:jc w:val="both"/>
        <w:rPr>
          <w:rFonts w:ascii="方正小标宋简体" w:hAnsi="Calibri" w:eastAsia="方正小标宋简体" w:cs="Times New Roman"/>
          <w:kern w:val="2"/>
          <w:sz w:val="21"/>
          <w:szCs w:val="22"/>
          <w:highlight w:val="none"/>
          <w:lang w:val="en-US" w:eastAsia="zh-CN" w:bidi="ar-SA"/>
        </w:rPr>
      </w:pPr>
    </w:p>
    <w:p w14:paraId="62C277B9">
      <w:pPr>
        <w:widowControl w:val="0"/>
        <w:jc w:val="both"/>
        <w:rPr>
          <w:rFonts w:ascii="方正小标宋简体" w:hAnsi="Calibri" w:eastAsia="方正小标宋简体" w:cs="Times New Roman"/>
          <w:kern w:val="2"/>
          <w:sz w:val="21"/>
          <w:szCs w:val="22"/>
          <w:highlight w:val="none"/>
          <w:lang w:val="en-US" w:eastAsia="zh-CN" w:bidi="ar-SA"/>
        </w:rPr>
      </w:pPr>
    </w:p>
    <w:p w14:paraId="5977D204">
      <w:pPr>
        <w:spacing w:line="360" w:lineRule="auto"/>
        <w:jc w:val="center"/>
        <w:rPr>
          <w:rFonts w:hint="eastAsia" w:ascii="宋体" w:hAnsi="宋体" w:eastAsia="宋体" w:cs="仿宋"/>
          <w:b/>
          <w:sz w:val="32"/>
          <w:szCs w:val="32"/>
          <w:highlight w:val="none"/>
        </w:rPr>
      </w:pP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年</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月</w:t>
      </w:r>
      <w:r>
        <w:rPr>
          <w:rFonts w:hint="eastAsia" w:ascii="宋体" w:hAnsi="宋体" w:eastAsia="宋体" w:cs="仿宋"/>
          <w:b/>
          <w:sz w:val="32"/>
          <w:szCs w:val="32"/>
          <w:highlight w:val="none"/>
        </w:rPr>
        <w:t xml:space="preserve"> </w:t>
      </w:r>
    </w:p>
    <w:p w14:paraId="206651E6">
      <w:pPr>
        <w:pStyle w:val="2"/>
        <w:rPr>
          <w:rFonts w:hint="eastAsia" w:ascii="宋体" w:hAnsi="宋体" w:eastAsia="宋体" w:cs="仿宋"/>
          <w:b/>
          <w:sz w:val="32"/>
          <w:szCs w:val="32"/>
          <w:highlight w:val="none"/>
        </w:rPr>
      </w:pPr>
    </w:p>
    <w:p w14:paraId="21146877">
      <w:pPr>
        <w:rPr>
          <w:rFonts w:hint="eastAsia" w:ascii="宋体" w:hAnsi="宋体" w:eastAsia="宋体" w:cs="仿宋"/>
          <w:b/>
          <w:sz w:val="32"/>
          <w:szCs w:val="32"/>
          <w:highlight w:val="none"/>
        </w:rPr>
      </w:pPr>
    </w:p>
    <w:p w14:paraId="47DE7959">
      <w:pPr>
        <w:pStyle w:val="2"/>
        <w:rPr>
          <w:rFonts w:hint="eastAsia" w:ascii="宋体" w:hAnsi="宋体" w:eastAsia="宋体" w:cs="仿宋"/>
          <w:b/>
          <w:sz w:val="32"/>
          <w:szCs w:val="32"/>
          <w:highlight w:val="none"/>
        </w:rPr>
      </w:pPr>
    </w:p>
    <w:p w14:paraId="4FD35E17">
      <w:pPr>
        <w:rPr>
          <w:rFonts w:hint="eastAsia" w:ascii="宋体" w:hAnsi="宋体" w:eastAsia="宋体" w:cs="仿宋"/>
          <w:b/>
          <w:sz w:val="32"/>
          <w:szCs w:val="32"/>
          <w:highlight w:val="none"/>
        </w:rPr>
      </w:pPr>
    </w:p>
    <w:p w14:paraId="29F676F2">
      <w:pPr>
        <w:pStyle w:val="2"/>
        <w:rPr>
          <w:rFonts w:hint="eastAsia" w:ascii="宋体" w:hAnsi="宋体" w:eastAsia="宋体" w:cs="仿宋"/>
          <w:b/>
          <w:sz w:val="32"/>
          <w:szCs w:val="32"/>
          <w:highlight w:val="none"/>
        </w:rPr>
      </w:pPr>
    </w:p>
    <w:p w14:paraId="5A3792A0">
      <w:pPr>
        <w:rPr>
          <w:rFonts w:hint="eastAsia"/>
        </w:rPr>
      </w:pPr>
    </w:p>
    <w:p w14:paraId="11BEFCD8">
      <w:pPr>
        <w:spacing w:line="480" w:lineRule="exact"/>
        <w:ind w:firstLine="3534" w:firstLineChars="800"/>
        <w:rPr>
          <w:rFonts w:hint="eastAsia" w:ascii="宋体" w:hAnsi="宋体" w:eastAsia="宋体" w:cs="仿宋"/>
          <w:b/>
          <w:sz w:val="44"/>
          <w:szCs w:val="44"/>
          <w:highlight w:val="none"/>
        </w:rPr>
      </w:pPr>
    </w:p>
    <w:p w14:paraId="538C1C80">
      <w:pPr>
        <w:spacing w:line="480" w:lineRule="exact"/>
        <w:ind w:firstLine="3534" w:firstLineChars="800"/>
        <w:rPr>
          <w:rFonts w:hint="eastAsia" w:ascii="宋体" w:hAnsi="宋体" w:eastAsia="宋体" w:cs="仿宋"/>
          <w:b/>
          <w:sz w:val="44"/>
          <w:szCs w:val="44"/>
          <w:highlight w:val="none"/>
        </w:rPr>
      </w:pPr>
      <w:r>
        <w:rPr>
          <w:rFonts w:hint="eastAsia" w:ascii="宋体" w:hAnsi="宋体" w:eastAsia="宋体" w:cs="仿宋"/>
          <w:b/>
          <w:sz w:val="44"/>
          <w:szCs w:val="44"/>
          <w:highlight w:val="none"/>
        </w:rPr>
        <w:t>供货合同</w:t>
      </w:r>
    </w:p>
    <w:p w14:paraId="412E3C95">
      <w:pPr>
        <w:widowControl w:val="0"/>
        <w:jc w:val="both"/>
        <w:rPr>
          <w:rFonts w:ascii="Calibri" w:hAnsi="Calibri" w:eastAsia="宋体" w:cs="Times New Roman"/>
          <w:kern w:val="2"/>
          <w:sz w:val="21"/>
          <w:szCs w:val="22"/>
          <w:highlight w:val="none"/>
          <w:lang w:val="en-US" w:eastAsia="zh-CN" w:bidi="ar-SA"/>
        </w:rPr>
      </w:pPr>
    </w:p>
    <w:p w14:paraId="25D6F10E">
      <w:pPr>
        <w:numPr>
          <w:ilvl w:val="0"/>
          <w:numId w:val="1"/>
        </w:num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供货合同格式</w:t>
      </w:r>
    </w:p>
    <w:p w14:paraId="41EA6028">
      <w:pPr>
        <w:spacing w:line="500" w:lineRule="exact"/>
        <w:rPr>
          <w:rFonts w:hint="eastAsia" w:ascii="宋体" w:hAnsi="宋体" w:eastAsia="宋体" w:cs="宋体"/>
          <w:spacing w:val="-2"/>
          <w:kern w:val="0"/>
          <w:sz w:val="24"/>
          <w:highlight w:val="none"/>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项目</w:t>
      </w:r>
      <w:r>
        <w:rPr>
          <w:rFonts w:hint="eastAsia" w:ascii="宋体" w:hAnsi="宋体" w:eastAsia="宋体" w:cs="宋体"/>
          <w:spacing w:val="-2"/>
          <w:kern w:val="0"/>
          <w:sz w:val="24"/>
          <w:highlight w:val="none"/>
        </w:rPr>
        <w:t>(项目编号：</w:t>
      </w:r>
      <w:r>
        <w:rPr>
          <w:rFonts w:hint="eastAsia" w:ascii="宋体" w:hAnsi="宋体" w:eastAsia="宋体" w:cs="宋体"/>
          <w:spacing w:val="-2"/>
          <w:kern w:val="0"/>
          <w:sz w:val="24"/>
          <w:highlight w:val="none"/>
          <w:u w:val="single"/>
        </w:rPr>
        <w:t xml:space="preserve">            </w:t>
      </w:r>
      <w:r>
        <w:rPr>
          <w:rFonts w:hint="eastAsia" w:ascii="宋体" w:hAnsi="宋体" w:eastAsia="宋体" w:cs="宋体"/>
          <w:spacing w:val="-2"/>
          <w:kern w:val="0"/>
          <w:sz w:val="24"/>
          <w:highlight w:val="none"/>
        </w:rPr>
        <w:t>)，在</w:t>
      </w:r>
      <w:r>
        <w:rPr>
          <w:rFonts w:hint="eastAsia" w:ascii="宋体" w:hAnsi="宋体" w:eastAsia="宋体" w:cs="宋体"/>
          <w:spacing w:val="-2"/>
          <w:kern w:val="0"/>
          <w:sz w:val="24"/>
          <w:highlight w:val="none"/>
          <w:lang w:eastAsia="zh-CN"/>
        </w:rPr>
        <w:t>铜川市王益区</w:t>
      </w:r>
      <w:r>
        <w:rPr>
          <w:rFonts w:hint="eastAsia" w:ascii="宋体" w:hAnsi="宋体" w:eastAsia="宋体" w:cs="宋体"/>
          <w:spacing w:val="-2"/>
          <w:kern w:val="0"/>
          <w:sz w:val="24"/>
          <w:highlight w:val="none"/>
        </w:rPr>
        <w:t>财政局政府采购管理处的监督管理下，由</w:t>
      </w:r>
      <w:r>
        <w:rPr>
          <w:rFonts w:hint="eastAsia" w:ascii="宋体" w:hAnsi="宋体" w:eastAsia="宋体" w:cs="宋体"/>
          <w:spacing w:val="-2"/>
          <w:kern w:val="0"/>
          <w:sz w:val="24"/>
          <w:highlight w:val="none"/>
          <w:u w:val="single"/>
          <w:lang w:val="en-US" w:eastAsia="zh-CN"/>
        </w:rPr>
        <w:t>司</w:t>
      </w:r>
      <w:r>
        <w:rPr>
          <w:rFonts w:hint="eastAsia" w:ascii="宋体" w:hAnsi="宋体" w:eastAsia="宋体" w:cs="宋体"/>
          <w:spacing w:val="-2"/>
          <w:kern w:val="0"/>
          <w:sz w:val="24"/>
          <w:highlight w:val="none"/>
        </w:rPr>
        <w:t>组织依法招标。(以下简称“买方”)确定</w:t>
      </w:r>
      <w:r>
        <w:rPr>
          <w:rFonts w:hint="eastAsia" w:ascii="宋体" w:hAnsi="宋体" w:eastAsia="宋体" w:cs="宋体"/>
          <w:sz w:val="24"/>
          <w:highlight w:val="none"/>
          <w:u w:val="single"/>
        </w:rPr>
        <w:t xml:space="preserve">                  </w:t>
      </w:r>
      <w:r>
        <w:rPr>
          <w:rFonts w:hint="eastAsia" w:ascii="宋体" w:hAnsi="宋体" w:eastAsia="宋体" w:cs="宋体"/>
          <w:spacing w:val="-2"/>
          <w:kern w:val="0"/>
          <w:sz w:val="24"/>
          <w:highlight w:val="none"/>
        </w:rPr>
        <w:t>（以下简称“卖方”）为成交供应商</w:t>
      </w:r>
      <w:r>
        <w:rPr>
          <w:rFonts w:hint="eastAsia" w:ascii="宋体" w:hAnsi="宋体" w:eastAsia="宋体" w:cs="宋体"/>
          <w:sz w:val="24"/>
          <w:highlight w:val="none"/>
        </w:rPr>
        <w:t>，其规模为</w:t>
      </w:r>
      <w:r>
        <w:rPr>
          <w:rFonts w:hint="eastAsia" w:ascii="宋体" w:hAnsi="宋体" w:eastAsia="宋体" w:cs="宋体"/>
          <w:sz w:val="24"/>
          <w:highlight w:val="none"/>
          <w:u w:val="single"/>
        </w:rPr>
        <w:t>大型企业、中型企业、小型企业、小微企业</w:t>
      </w:r>
      <w:r>
        <w:rPr>
          <w:rFonts w:hint="eastAsia" w:ascii="宋体" w:hAnsi="宋体" w:eastAsia="宋体" w:cs="宋体"/>
          <w:sz w:val="24"/>
          <w:highlight w:val="none"/>
        </w:rPr>
        <w:t>，供应商拥有者性别为</w:t>
      </w:r>
      <w:r>
        <w:rPr>
          <w:rFonts w:hint="eastAsia" w:ascii="宋体" w:hAnsi="宋体" w:eastAsia="宋体" w:cs="宋体"/>
          <w:sz w:val="24"/>
          <w:highlight w:val="none"/>
          <w:u w:val="single"/>
        </w:rPr>
        <w:t>男/女</w:t>
      </w:r>
      <w:r>
        <w:rPr>
          <w:rFonts w:hint="eastAsia" w:ascii="宋体" w:hAnsi="宋体" w:eastAsia="宋体" w:cs="宋体"/>
          <w:sz w:val="24"/>
          <w:highlight w:val="none"/>
        </w:rPr>
        <w:t>。</w:t>
      </w:r>
      <w:r>
        <w:rPr>
          <w:rFonts w:hint="eastAsia" w:ascii="宋体" w:hAnsi="宋体" w:eastAsia="宋体" w:cs="宋体"/>
          <w:spacing w:val="-2"/>
          <w:kern w:val="0"/>
          <w:sz w:val="24"/>
          <w:highlight w:val="none"/>
        </w:rPr>
        <w:t xml:space="preserve"> </w:t>
      </w:r>
    </w:p>
    <w:p w14:paraId="5777AF9A">
      <w:pPr>
        <w:spacing w:line="500" w:lineRule="exact"/>
        <w:ind w:firstLine="472" w:firstLineChars="200"/>
        <w:rPr>
          <w:rFonts w:hint="eastAsia" w:ascii="宋体" w:hAnsi="宋体" w:eastAsia="宋体" w:cs="宋体"/>
          <w:spacing w:val="-2"/>
          <w:kern w:val="0"/>
          <w:sz w:val="24"/>
          <w:highlight w:val="none"/>
        </w:rPr>
      </w:pPr>
      <w:r>
        <w:rPr>
          <w:rFonts w:hint="eastAsia" w:ascii="宋体" w:hAnsi="宋体" w:eastAsia="宋体" w:cs="宋体"/>
          <w:spacing w:val="-2"/>
          <w:kern w:val="0"/>
          <w:sz w:val="24"/>
          <w:highlight w:val="none"/>
        </w:rPr>
        <w:t>依据《中华人民共和国民法典》和《中华人民共和国政府采购法》等规定，买方通过依法采购接受了卖方以价格（大写）：人民币</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pacing w:val="-2"/>
          <w:kern w:val="0"/>
          <w:sz w:val="24"/>
          <w:highlight w:val="none"/>
        </w:rPr>
        <w:t>(以下简称“合同价”)提供的货物及配套服务、施工</w:t>
      </w:r>
      <w:r>
        <w:rPr>
          <w:rFonts w:hint="eastAsia" w:ascii="宋体" w:hAnsi="宋体" w:eastAsia="宋体" w:cs="宋体"/>
          <w:sz w:val="24"/>
          <w:highlight w:val="none"/>
        </w:rPr>
        <w:t>，买方经办人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,联系电话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；卖方经办人_______,联系电话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598955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本合同在此声明如下：</w:t>
      </w:r>
    </w:p>
    <w:p w14:paraId="69A50D4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1、本合同中的词语和术语的含义与合同条款中定义的相同。</w:t>
      </w:r>
    </w:p>
    <w:p w14:paraId="7BFA65BB">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2、下述文件是本合同的一部分，并与本合同一起阅读和解释：</w:t>
      </w:r>
    </w:p>
    <w:p w14:paraId="501D9F1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1）合同条款</w:t>
      </w:r>
    </w:p>
    <w:p w14:paraId="1B6CD50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2）合同条款附件</w:t>
      </w:r>
    </w:p>
    <w:p w14:paraId="39362732">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附件1—货物清单（必须提供）</w:t>
      </w:r>
    </w:p>
    <w:p w14:paraId="6D8A69F9">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附件2—质量保证承诺（必须提供）</w:t>
      </w:r>
    </w:p>
    <w:p w14:paraId="72107A3A">
      <w:pPr>
        <w:spacing w:line="500" w:lineRule="exact"/>
        <w:ind w:firstLine="840" w:firstLineChars="350"/>
        <w:rPr>
          <w:rFonts w:hint="eastAsia" w:ascii="宋体" w:hAnsi="宋体" w:eastAsia="宋体" w:cs="宋体"/>
          <w:sz w:val="24"/>
          <w:highlight w:val="none"/>
        </w:rPr>
      </w:pPr>
      <w:r>
        <w:rPr>
          <w:rFonts w:hint="eastAsia" w:ascii="宋体" w:hAnsi="宋体" w:eastAsia="宋体" w:cs="宋体"/>
          <w:sz w:val="24"/>
          <w:highlight w:val="none"/>
        </w:rPr>
        <w:t>附件3—售后服务方案（必须提供）</w:t>
      </w:r>
    </w:p>
    <w:p w14:paraId="687CEEF8">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3）成交通知书</w:t>
      </w:r>
    </w:p>
    <w:p w14:paraId="1BE88C38">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4）买方</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文件</w:t>
      </w:r>
    </w:p>
    <w:p w14:paraId="4357F7F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5）卖方</w:t>
      </w:r>
      <w:r>
        <w:rPr>
          <w:rFonts w:hint="eastAsia" w:ascii="宋体" w:hAnsi="宋体" w:eastAsia="宋体" w:cs="宋体"/>
          <w:sz w:val="24"/>
          <w:highlight w:val="none"/>
          <w:lang w:val="en-US" w:eastAsia="zh-CN"/>
        </w:rPr>
        <w:t>投标响应</w:t>
      </w:r>
      <w:r>
        <w:rPr>
          <w:rFonts w:hint="eastAsia" w:ascii="宋体" w:hAnsi="宋体" w:eastAsia="宋体" w:cs="宋体"/>
          <w:sz w:val="24"/>
          <w:highlight w:val="none"/>
        </w:rPr>
        <w:t>文件</w:t>
      </w:r>
    </w:p>
    <w:p w14:paraId="20CFA9DA">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3、考虑到买方将按照本合同向卖方支付货款，卖方在此保证全部按照合同的规定向买方提供货物和服务，并修补缺陷。</w:t>
      </w:r>
    </w:p>
    <w:p w14:paraId="59B3C6B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4、考虑到卖方提供的货物和服务并修补缺陷，买方在此保证按照合同规定时间和方式向卖方支付合同价或其他按合同规定应支付的金额。</w:t>
      </w:r>
    </w:p>
    <w:p w14:paraId="60DC49DA">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5、履约保证金</w:t>
      </w:r>
    </w:p>
    <w:p w14:paraId="7E0A206F">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 卖方在签订合同前须向买方交纳合同价5%的履约保证金。</w:t>
      </w:r>
    </w:p>
    <w:p w14:paraId="658B464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5-2 卖方无正当理由不与买方订立合同，在签订合同时向买方提出附加条件，或者不按照招标文件要求提交履约保证金的，取消其成交资格，投标保证金（若有）不予退还。</w:t>
      </w:r>
    </w:p>
    <w:p w14:paraId="2B13C053">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5-3 项目验收合格后，卖方持《申请支付履约保证金的函》到买方办理相关手续后，买方向卖方30天内无息退还。</w:t>
      </w:r>
      <w:r>
        <w:rPr>
          <w:rFonts w:hint="eastAsia" w:ascii="宋体" w:hAnsi="宋体" w:eastAsia="宋体" w:cs="宋体"/>
          <w:sz w:val="24"/>
          <w:highlight w:val="none"/>
          <w:lang w:bidi="ar"/>
        </w:rPr>
        <w:t>如卖方在合同履行过程中存在违约行为，买方有权根据违约情况扣留部分或全部履约保证金，具体扣留金额由双方协商确定。</w:t>
      </w:r>
    </w:p>
    <w:p w14:paraId="57D69B07">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6、付款方式：</w:t>
      </w:r>
    </w:p>
    <w:p w14:paraId="609FEEFD">
      <w:pPr>
        <w:widowControl/>
        <w:spacing w:line="500" w:lineRule="exac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签订合同后</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eastAsia="zh-CN"/>
        </w:rPr>
        <w:t>天内，成交方持履约保证金交纳凭证、合同、预付款发票，至买方处办理合同总价款的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eastAsia="zh-CN"/>
        </w:rPr>
        <w:t>预付款项</w:t>
      </w:r>
    </w:p>
    <w:p w14:paraId="024F6D6B">
      <w:pPr>
        <w:widowControl/>
        <w:spacing w:line="500" w:lineRule="exact"/>
        <w:ind w:firstLine="480" w:firstLineChars="200"/>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lang w:eastAsia="zh-CN"/>
        </w:rPr>
        <w:t>货物全部运到采购方指定地方,安装调试完毕并经终验合格后</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eastAsia="zh-CN"/>
        </w:rPr>
        <w:t>天内,</w:t>
      </w:r>
      <w:r>
        <w:rPr>
          <w:rFonts w:hint="eastAsia" w:ascii="宋体" w:hAnsi="宋体" w:eastAsia="宋体" w:cs="宋体"/>
          <w:sz w:val="24"/>
          <w:highlight w:val="none"/>
          <w:lang w:val="en-US" w:eastAsia="zh-CN"/>
        </w:rPr>
        <w:t>支付</w:t>
      </w:r>
      <w:r>
        <w:rPr>
          <w:rFonts w:hint="eastAsia" w:ascii="宋体" w:hAnsi="宋体" w:eastAsia="宋体" w:cs="宋体"/>
          <w:sz w:val="24"/>
          <w:highlight w:val="none"/>
          <w:u w:val="single"/>
          <w:lang w:val="en-US" w:eastAsia="zh-CN"/>
        </w:rPr>
        <w:t xml:space="preserve">      ；</w:t>
      </w:r>
    </w:p>
    <w:p w14:paraId="062F6D18">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lang w:eastAsia="zh-CN"/>
        </w:rPr>
        <w:t>成交方持《终验合格单》原件及全额发票在采购方处办理全部货款的交付手续。</w:t>
      </w:r>
    </w:p>
    <w:p w14:paraId="51E51224">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7、交货期：自合同签订之日起至__</w:t>
      </w:r>
      <w:r>
        <w:rPr>
          <w:rFonts w:hint="eastAsia" w:ascii="宋体" w:hAnsi="宋体" w:eastAsia="宋体" w:cs="宋体"/>
          <w:sz w:val="24"/>
          <w:highlight w:val="none"/>
          <w:u w:val="single"/>
          <w:lang w:bidi="ar"/>
        </w:rPr>
        <w:t xml:space="preserve">  _</w:t>
      </w:r>
      <w:r>
        <w:rPr>
          <w:rFonts w:hint="eastAsia" w:ascii="宋体" w:hAnsi="宋体" w:eastAsia="宋体" w:cs="宋体"/>
          <w:sz w:val="24"/>
          <w:highlight w:val="none"/>
          <w:lang w:bidi="ar"/>
        </w:rPr>
        <w:t>_年____月___日。</w:t>
      </w:r>
    </w:p>
    <w:p w14:paraId="5BF5CE29">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 xml:space="preserve">   交货地点：指定地点</w:t>
      </w:r>
    </w:p>
    <w:p w14:paraId="7FF2E7FD">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8、本合同壹式柒份，其中，买方伍份，卖方壹份，代理机构壹份每份均具有同等法律效力。</w:t>
      </w:r>
    </w:p>
    <w:p w14:paraId="1FAC072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9、本合同由买卖双方法定代表人/授权代表共同签字并加盖公章/合同专用章之日起生效。</w:t>
      </w:r>
    </w:p>
    <w:tbl>
      <w:tblPr>
        <w:tblStyle w:val="3"/>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14:paraId="144C6171">
        <w:tblPrEx>
          <w:tblCellMar>
            <w:top w:w="0" w:type="dxa"/>
            <w:left w:w="108" w:type="dxa"/>
            <w:bottom w:w="0" w:type="dxa"/>
            <w:right w:w="108" w:type="dxa"/>
          </w:tblCellMar>
        </w:tblPrEx>
        <w:trPr>
          <w:trHeight w:val="3561" w:hRule="atLeast"/>
        </w:trPr>
        <w:tc>
          <w:tcPr>
            <w:tcW w:w="4803" w:type="dxa"/>
            <w:tcMar>
              <w:top w:w="113" w:type="dxa"/>
              <w:left w:w="113" w:type="dxa"/>
              <w:bottom w:w="113" w:type="dxa"/>
              <w:right w:w="113" w:type="dxa"/>
            </w:tcMar>
          </w:tcPr>
          <w:p w14:paraId="259C460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买方名称： </w:t>
            </w:r>
          </w:p>
          <w:p w14:paraId="77375DF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地址：</w:t>
            </w:r>
            <w:r>
              <w:rPr>
                <w:rFonts w:hint="eastAsia" w:ascii="宋体" w:hAnsi="宋体" w:eastAsia="宋体" w:cs="宋体"/>
                <w:sz w:val="24"/>
                <w:highlight w:val="none"/>
                <w:lang w:eastAsia="zh-CN"/>
              </w:rPr>
              <w:t>铜川市王益区</w:t>
            </w:r>
            <w:r>
              <w:rPr>
                <w:rFonts w:hint="eastAsia" w:ascii="宋体" w:hAnsi="宋体" w:eastAsia="宋体" w:cs="宋体"/>
                <w:sz w:val="24"/>
                <w:highlight w:val="none"/>
              </w:rPr>
              <w:t xml:space="preserve">灞桥区港务大道396号 </w:t>
            </w:r>
          </w:p>
          <w:p w14:paraId="221CF4B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4BE519F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2F224B36">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p>
          <w:p w14:paraId="51AC23B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法定代表人/授权代表签字：</w:t>
            </w:r>
          </w:p>
          <w:p w14:paraId="53E3202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盖章：</w:t>
            </w:r>
          </w:p>
          <w:p w14:paraId="4B55A853">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3027536B">
            <w:pPr>
              <w:keepNext w:val="0"/>
              <w:keepLines w:val="0"/>
              <w:suppressLineNumbers w:val="0"/>
              <w:spacing w:before="0" w:beforeAutospacing="0" w:after="0" w:afterAutospacing="0" w:line="480" w:lineRule="exact"/>
              <w:ind w:left="0" w:right="0" w:firstLine="240" w:firstLineChars="100"/>
              <w:rPr>
                <w:rFonts w:hint="default" w:ascii="Times New Roman" w:hAnsi="Times New Roman" w:eastAsia="宋体" w:cs="Times New Roman"/>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日     </w:t>
            </w:r>
          </w:p>
        </w:tc>
        <w:tc>
          <w:tcPr>
            <w:tcW w:w="4615" w:type="dxa"/>
            <w:tcMar>
              <w:top w:w="113" w:type="dxa"/>
              <w:left w:w="113" w:type="dxa"/>
              <w:bottom w:w="113" w:type="dxa"/>
              <w:right w:w="113" w:type="dxa"/>
            </w:tcMar>
          </w:tcPr>
          <w:p w14:paraId="6FB7EC7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卖方名称： </w:t>
            </w:r>
          </w:p>
          <w:p w14:paraId="7DF84F39">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地址：</w:t>
            </w:r>
          </w:p>
          <w:p w14:paraId="3A04396A">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电话：</w:t>
            </w:r>
          </w:p>
          <w:p w14:paraId="4F1B6D26">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开户银行： </w:t>
            </w:r>
          </w:p>
          <w:p w14:paraId="6A373C3E">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 xml:space="preserve">账号： </w:t>
            </w:r>
          </w:p>
          <w:p w14:paraId="640F16E0">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法定代表人/授权代表签字：</w:t>
            </w:r>
          </w:p>
          <w:p w14:paraId="31ED6EF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rPr>
              <w:t>盖章：</w:t>
            </w:r>
          </w:p>
          <w:p w14:paraId="7CC78AB1">
            <w:pPr>
              <w:keepNext w:val="0"/>
              <w:keepLines w:val="0"/>
              <w:suppressLineNumbers w:val="0"/>
              <w:spacing w:before="0" w:beforeAutospacing="0" w:after="0" w:afterAutospacing="0" w:line="480" w:lineRule="exact"/>
              <w:ind w:left="0" w:right="0"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E209DA4">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tc>
      </w:tr>
    </w:tbl>
    <w:p w14:paraId="5FB77E6E">
      <w:pPr>
        <w:autoSpaceDE w:val="0"/>
        <w:autoSpaceDN w:val="0"/>
        <w:spacing w:line="480" w:lineRule="exact"/>
        <w:rPr>
          <w:rFonts w:hint="eastAsia" w:ascii="宋体" w:hAnsi="宋体" w:eastAsia="宋体" w:cs="宋体"/>
          <w:sz w:val="24"/>
          <w:highlight w:val="none"/>
        </w:rPr>
      </w:pPr>
      <w:bookmarkStart w:id="123" w:name="_GoBack"/>
      <w:bookmarkEnd w:id="123"/>
    </w:p>
    <w:p w14:paraId="74212FC2">
      <w:pPr>
        <w:widowControl w:val="0"/>
        <w:jc w:val="both"/>
        <w:rPr>
          <w:rFonts w:ascii="Calibri" w:hAnsi="Calibri" w:eastAsia="宋体" w:cs="Times New Roman"/>
          <w:kern w:val="2"/>
          <w:sz w:val="21"/>
          <w:szCs w:val="22"/>
          <w:highlight w:val="none"/>
          <w:lang w:val="en-US" w:eastAsia="zh-CN" w:bidi="ar-SA"/>
        </w:rPr>
      </w:pPr>
      <w:r>
        <w:rPr>
          <w:rFonts w:hint="eastAsia" w:ascii="Calibri" w:hAnsi="Calibri" w:eastAsia="宋体" w:cs="Times New Roman"/>
          <w:kern w:val="2"/>
          <w:sz w:val="21"/>
          <w:szCs w:val="22"/>
          <w:highlight w:val="none"/>
          <w:lang w:val="en-US" w:eastAsia="zh-CN" w:bidi="ar-SA"/>
        </w:rPr>
        <w:br w:type="page"/>
      </w:r>
    </w:p>
    <w:p w14:paraId="5142DCC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二、合同条款</w:t>
      </w:r>
    </w:p>
    <w:p w14:paraId="0D1BB481">
      <w:pPr>
        <w:autoSpaceDE w:val="0"/>
        <w:autoSpaceDN w:val="0"/>
        <w:adjustRightInd w:val="0"/>
        <w:snapToGri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1、定义</w:t>
      </w:r>
    </w:p>
    <w:p w14:paraId="7AE86AEA">
      <w:pPr>
        <w:autoSpaceDE w:val="0"/>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本合同下列术语应解释为：</w:t>
      </w:r>
    </w:p>
    <w:p w14:paraId="415A79B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1-1、“合同”系指买卖双方及鉴证方签署的、合同格式中载明的买卖双方所达成的协议，包括所有的附件、附录和招、投标文件所提到的构成合同的所有文件。</w:t>
      </w:r>
    </w:p>
    <w:p w14:paraId="46FCFC5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1-2、“合同价”系指根据本合同规定卖方在正确地完全履行合同义务后买方应支付给卖方的价款。</w:t>
      </w:r>
    </w:p>
    <w:p w14:paraId="72693D51">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1-3、“货物”系指卖方根据本合同规定须向买方提供的一切产品、部件或其它材料。</w:t>
      </w:r>
    </w:p>
    <w:p w14:paraId="4A62309B">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1-4、“配套服务”系指根据本合同规定卖方承担与供货有关的辅助服务如运输、保险以及其它的伴随服务，例如调试、提供技术援助、培训和合同中规定卖方应承担的其它义务。</w:t>
      </w:r>
    </w:p>
    <w:p w14:paraId="33EF7E9B">
      <w:pPr>
        <w:adjustRightInd w:val="0"/>
        <w:spacing w:line="480" w:lineRule="exact"/>
        <w:ind w:firstLine="480" w:firstLineChars="200"/>
        <w:rPr>
          <w:rFonts w:ascii="Times New Roman" w:hAnsi="Times New Roman" w:eastAsia="宋体" w:cs="Times New Roman"/>
          <w:highlight w:val="none"/>
        </w:rPr>
      </w:pPr>
      <w:r>
        <w:rPr>
          <w:rFonts w:hint="eastAsia" w:ascii="宋体" w:hAnsi="宋体" w:eastAsia="宋体" w:cs="宋体"/>
          <w:sz w:val="24"/>
          <w:highlight w:val="none"/>
        </w:rPr>
        <w:t>1-5、“配套施工”系指根据本合同规定卖方承担与供货有关的辅助施工，例如布线、装饰装修、修缮和合同中规定卖方应承担的其它义务。</w:t>
      </w:r>
    </w:p>
    <w:p w14:paraId="05D8C10D">
      <w:pPr>
        <w:adjustRightIn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1-6、“项目现场”系指本合同项下货物安装、运行的场地。</w:t>
      </w:r>
    </w:p>
    <w:p w14:paraId="6772C0C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1-7、“合同条款”系指本合同条款。</w:t>
      </w:r>
    </w:p>
    <w:p w14:paraId="385B515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1-8、“买方”是指购买货物及配套服务的单位即。</w:t>
      </w:r>
    </w:p>
    <w:p w14:paraId="224C3A6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1-9、“卖方”是指提供本合同内的货物及配套服务的公司或其它实体即</w:t>
      </w:r>
      <w:r>
        <w:rPr>
          <w:rFonts w:hint="eastAsia" w:ascii="宋体" w:hAnsi="宋体" w:eastAsia="宋体" w:cs="宋体"/>
          <w:b/>
          <w:bCs/>
          <w:sz w:val="24"/>
          <w:highlight w:val="none"/>
          <w:u w:val="single"/>
        </w:rPr>
        <w:t xml:space="preserve">          </w:t>
      </w:r>
      <w:r>
        <w:rPr>
          <w:rFonts w:hint="eastAsia" w:ascii="宋体" w:hAnsi="宋体" w:eastAsia="宋体" w:cs="宋体"/>
          <w:sz w:val="24"/>
          <w:highlight w:val="none"/>
        </w:rPr>
        <w:t>。</w:t>
      </w:r>
    </w:p>
    <w:p w14:paraId="6169DD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1-10、“天”指日历天数。</w:t>
      </w:r>
    </w:p>
    <w:p w14:paraId="3554448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2、</w:t>
      </w:r>
      <w:r>
        <w:rPr>
          <w:rFonts w:hint="eastAsia" w:ascii="宋体" w:hAnsi="宋体" w:eastAsia="宋体" w:cs="宋体"/>
          <w:sz w:val="24"/>
          <w:highlight w:val="none"/>
        </w:rPr>
        <w:t>使用合同文件和资料</w:t>
      </w:r>
    </w:p>
    <w:p w14:paraId="7CD5C23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2F88834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2-2、没有买方事先书面同意，除了履行本合同之外，卖方不应使用合同条款第2-1条所列举的任何文件和资料。</w:t>
      </w:r>
    </w:p>
    <w:p w14:paraId="23215021">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2-3、除了合同本身以外，合同条款第2-1条所列举的任何文件是买方的财产。如果买方有要求，卖方在完成合同后应将这些文件及全部复制件还给买方。</w:t>
      </w:r>
    </w:p>
    <w:p w14:paraId="500BB5D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3、专利权</w:t>
      </w:r>
    </w:p>
    <w:p w14:paraId="6C4BC741">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卖方应保证，买方在使用该货物或货物的任何一部分，免受第三方提出的侵犯（其专利权）、商标权、著作权或其它知识产权的起诉。</w:t>
      </w:r>
    </w:p>
    <w:p w14:paraId="3227F3C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4、技术规格</w:t>
      </w:r>
    </w:p>
    <w:p w14:paraId="41BF501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本合同下交付的产品必须等同或优于本项目招标文件《技术规格与要求》所述的标准。若卖方在其投标文件中承诺的技术标准优于本项目招标文件《技术规格与要求》所述标准的，按投标文件的承诺执行。</w:t>
      </w:r>
    </w:p>
    <w:p w14:paraId="63704A6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5、检验和测试</w:t>
      </w:r>
    </w:p>
    <w:p w14:paraId="65E47A7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5-1、买方或其代表应有权检验和测试货物及其部件，以确认所供货物是否符合合同规格的要求，并且不承担额外的费用。买方要求进行的检验和测试，以及在何处进行这些检验和测试，以书面形式通知卖方。</w:t>
      </w:r>
      <w:r>
        <w:rPr>
          <w:rFonts w:hint="eastAsia" w:ascii="宋体" w:hAnsi="宋体" w:eastAsia="宋体" w:cs="宋体"/>
          <w:sz w:val="24"/>
          <w:highlight w:val="none"/>
          <w:lang w:bidi="ar"/>
        </w:rPr>
        <w:t>检验标准和方法应包括但不限于以下内容：[具体检验标准和方法]。</w:t>
      </w:r>
    </w:p>
    <w:p w14:paraId="093BD20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5-2、检验和测试在买方指定的交货地点进行。</w:t>
      </w:r>
    </w:p>
    <w:p w14:paraId="56F5D88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5-3、如果任何被检验或测试的货物或部件不能满足招标文件及合同的要求，买方可以拒绝接受该货物或部件，卖方应</w:t>
      </w:r>
      <w:r>
        <w:rPr>
          <w:rFonts w:hint="eastAsia" w:ascii="宋体" w:hAnsi="宋体" w:eastAsia="宋体" w:cs="宋体"/>
          <w:sz w:val="24"/>
          <w:highlight w:val="none"/>
          <w:lang w:bidi="ar"/>
        </w:rPr>
        <w:t>在收到买方通知后10个工作日内</w:t>
      </w:r>
      <w:r>
        <w:rPr>
          <w:rFonts w:hint="eastAsia" w:ascii="宋体" w:hAnsi="宋体" w:eastAsia="宋体" w:cs="宋体"/>
          <w:sz w:val="24"/>
          <w:highlight w:val="none"/>
        </w:rPr>
        <w:t>更换被拒绝的货物或部件，或者免费进行必要的修改以满足规格的要求。</w:t>
      </w:r>
    </w:p>
    <w:p w14:paraId="30804F1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5661678">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5-5、如果在货物使用寿命期内，根据检验结果，发现货物的质量或规格与合同要求不符，或被证实有缺陷，包含潜在的缺陷或使用不合适的材料，买方应向卖方提出索赔。</w:t>
      </w:r>
    </w:p>
    <w:p w14:paraId="7878C48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6、包装及运输</w:t>
      </w:r>
    </w:p>
    <w:p w14:paraId="4C1814B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6-1、卖方负责货物到达交货地点前的所有包装、运输、装卸及保险事项，相关费用应包括在合同价中。</w:t>
      </w:r>
    </w:p>
    <w:p w14:paraId="52E031D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DE59C49">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6-3、货物的运输方式由卖方自行选择，但包装必须满足货物运输和装卸的要求，保证买方收到的是无任何损伤的货物。否则，因此造成的损失由卖方自行承担。 </w:t>
      </w:r>
    </w:p>
    <w:p w14:paraId="6CA994C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7、伴随服务</w:t>
      </w:r>
    </w:p>
    <w:p w14:paraId="40BD84A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7-1、卖方必须在合同生效后三十 (30)天内向买方提交所供货物的技术文件（中文技术文件）包括但不限于：货物说明、图纸、操作手册、使用说明、维护手册和／或服务指南等。</w:t>
      </w:r>
      <w:r>
        <w:rPr>
          <w:rFonts w:hint="eastAsia" w:ascii="宋体" w:hAnsi="宋体" w:eastAsia="宋体" w:cs="宋体"/>
          <w:sz w:val="24"/>
          <w:highlight w:val="none"/>
          <w:lang w:bidi="ar"/>
        </w:rPr>
        <w:t>如卖方未能在规定时间内提供上述文件，买方有权要求卖方支付违约金，违约金金额为合同价的1%。</w:t>
      </w:r>
    </w:p>
    <w:p w14:paraId="419736A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7-2、卖方应向买方提供下列所有服务，包括但不限于本项目招标文件“商务条款”与“技术规格与要求”中规定的附加服务（如果有的话）：</w:t>
      </w:r>
    </w:p>
    <w:p w14:paraId="6118E77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（1）实施或监督所供货物的现场组装和试运行，</w:t>
      </w:r>
      <w:r>
        <w:rPr>
          <w:rFonts w:hint="eastAsia" w:ascii="宋体" w:hAnsi="宋体" w:eastAsia="宋体" w:cs="宋体"/>
          <w:sz w:val="24"/>
          <w:highlight w:val="none"/>
          <w:lang w:bidi="ar"/>
        </w:rPr>
        <w:t>具体时间为合同生效后[具体天数]天内；</w:t>
      </w:r>
      <w:r>
        <w:rPr>
          <w:rFonts w:hint="eastAsia" w:ascii="宋体" w:hAnsi="宋体" w:eastAsia="宋体" w:cs="宋体"/>
          <w:sz w:val="24"/>
          <w:highlight w:val="none"/>
        </w:rPr>
        <w:t>；</w:t>
      </w:r>
    </w:p>
    <w:p w14:paraId="13753DB7">
      <w:pPr>
        <w:widowControl/>
        <w:autoSpaceDE w:val="0"/>
        <w:autoSpaceDN w:val="0"/>
        <w:spacing w:line="480" w:lineRule="exact"/>
        <w:jc w:val="left"/>
        <w:rPr>
          <w:rFonts w:hint="eastAsia" w:ascii="宋体" w:hAnsi="宋体" w:eastAsia="宋体" w:cs="宋体"/>
          <w:sz w:val="24"/>
          <w:highlight w:val="none"/>
        </w:rPr>
      </w:pPr>
      <w:r>
        <w:rPr>
          <w:rFonts w:hint="eastAsia" w:ascii="宋体" w:hAnsi="宋体" w:eastAsia="宋体" w:cs="宋体"/>
          <w:sz w:val="24"/>
          <w:highlight w:val="none"/>
        </w:rPr>
        <w:t xml:space="preserve">    （2）提供货物组装和维修所需的工具，</w:t>
      </w:r>
      <w:r>
        <w:rPr>
          <w:rFonts w:hint="eastAsia" w:ascii="宋体" w:hAnsi="宋体" w:eastAsia="宋体" w:cs="宋体"/>
          <w:sz w:val="24"/>
          <w:highlight w:val="none"/>
          <w:lang w:bidi="ar"/>
        </w:rPr>
        <w:t>具体时间为合同生效后[     ]天内</w:t>
      </w:r>
    </w:p>
    <w:p w14:paraId="13CD5BC4">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w:t>
      </w:r>
    </w:p>
    <w:p w14:paraId="4846303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（3）为所供货物的每一适当的单台货物提供详细的操作和维护手册，</w:t>
      </w:r>
      <w:r>
        <w:rPr>
          <w:rFonts w:hint="eastAsia" w:ascii="宋体" w:hAnsi="宋体" w:eastAsia="宋体" w:cs="宋体"/>
          <w:sz w:val="24"/>
          <w:highlight w:val="none"/>
          <w:lang w:bidi="ar"/>
        </w:rPr>
        <w:t>具体时间为合同生效后[具体天数]天内</w:t>
      </w:r>
      <w:r>
        <w:rPr>
          <w:rFonts w:hint="eastAsia" w:ascii="宋体" w:hAnsi="宋体" w:eastAsia="宋体" w:cs="宋体"/>
          <w:sz w:val="24"/>
          <w:highlight w:val="none"/>
        </w:rPr>
        <w:t>；</w:t>
      </w:r>
    </w:p>
    <w:p w14:paraId="47B488C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（4）在双方商定的一定期限内对所供货物实施运行进行监督、维护、修理，但前提条件是该服务并不能免除卖方在合同保证期内所承担的义务；  </w:t>
      </w:r>
    </w:p>
    <w:p w14:paraId="73F0B347">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（5）卖方或制造厂在项目现场就所供货物的组装、试运行、运行、维护和修理、软硬件升级对买方人员进行培训。</w:t>
      </w:r>
      <w:r>
        <w:rPr>
          <w:rFonts w:hint="eastAsia" w:ascii="宋体" w:hAnsi="宋体" w:eastAsia="宋体" w:cs="宋体"/>
          <w:sz w:val="24"/>
          <w:highlight w:val="none"/>
          <w:lang w:bidi="ar"/>
        </w:rPr>
        <w:t>具体时间为合同生效后[具体天数]天内。如卖方未能在规定时间内提供上述服务，买方有权要求卖方支付违约金，违约金金额为合同价的1%。</w:t>
      </w:r>
    </w:p>
    <w:p w14:paraId="741A9B55">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7-3、卖方应提供本项目招标文件“商务条款”和“技术规格与要求”中规定的所有服务。为履行要求的伴随服务的报价或双方商定的费用应包括在合同价中。</w:t>
      </w:r>
    </w:p>
    <w:p w14:paraId="3BC6057D">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7-4、如果卖方或制造厂提供的伴随服务的费用未含在货物的合同价中，双方应事先就其达成协议，但其费用单价不应超过卖方向其他人提供类似服务所收取的现行市场价。</w:t>
      </w:r>
    </w:p>
    <w:p w14:paraId="36CD5EC2">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8、备品备件</w:t>
      </w:r>
    </w:p>
    <w:p w14:paraId="7FB903DA">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8-1、卖方可能被要求提供下列与备品备件有关的材料、通知和资料：</w:t>
      </w:r>
    </w:p>
    <w:p w14:paraId="77D5B80E">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（1）买方从卖方选购备品备件，但前提条件是该选择并不能免除卖方在合同保证期内所承担的义务；</w:t>
      </w:r>
    </w:p>
    <w:p w14:paraId="5D02E6A6">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（2）在备品备件停止生产的情况下，卖方应</w:t>
      </w:r>
      <w:r>
        <w:rPr>
          <w:rFonts w:hint="eastAsia" w:ascii="宋体" w:hAnsi="宋体" w:eastAsia="宋体" w:cs="宋体"/>
          <w:sz w:val="24"/>
          <w:highlight w:val="none"/>
          <w:lang w:bidi="ar"/>
        </w:rPr>
        <w:t>至少提前60天书面</w:t>
      </w:r>
      <w:r>
        <w:rPr>
          <w:rFonts w:hint="eastAsia" w:ascii="宋体" w:hAnsi="宋体" w:eastAsia="宋体" w:cs="宋体"/>
          <w:sz w:val="24"/>
          <w:highlight w:val="none"/>
        </w:rPr>
        <w:t>事先将要停止生产的计划通知买方使买方有足够的时间采购所需的备品备件；</w:t>
      </w:r>
    </w:p>
    <w:p w14:paraId="535747FE">
      <w:pPr>
        <w:widowControl/>
        <w:autoSpaceDE w:val="0"/>
        <w:autoSpaceDN w:val="0"/>
        <w:spacing w:line="480" w:lineRule="exact"/>
        <w:jc w:val="left"/>
        <w:rPr>
          <w:rFonts w:hint="eastAsia" w:ascii="宋体" w:hAnsi="宋体" w:eastAsia="宋体" w:cs="宋体"/>
          <w:sz w:val="24"/>
          <w:highlight w:val="none"/>
        </w:rPr>
      </w:pPr>
      <w:r>
        <w:rPr>
          <w:rFonts w:hint="eastAsia" w:ascii="宋体" w:hAnsi="宋体" w:eastAsia="宋体" w:cs="宋体"/>
          <w:sz w:val="24"/>
          <w:highlight w:val="none"/>
        </w:rPr>
        <w:t xml:space="preserve">   （3）在备品备件停止生产后，如果买方要求，卖方应免费向买方提供备品备件的蓝图、图纸和规格。</w:t>
      </w:r>
      <w:r>
        <w:rPr>
          <w:rFonts w:hint="eastAsia" w:ascii="宋体" w:hAnsi="宋体" w:eastAsia="宋体" w:cs="宋体"/>
          <w:sz w:val="24"/>
          <w:highlight w:val="none"/>
          <w:lang w:bidi="ar"/>
        </w:rPr>
        <w:t>如果卖方未能及时通知买方备品备件停止生产，或未能免费提供备品备件的蓝图、图纸和规格，卖方应承担由此给买方造成的全部损失。</w:t>
      </w:r>
    </w:p>
    <w:p w14:paraId="5671C55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8-2、卖方应按照本项目招标文件“商务条款”和“技术规格与要求”中的规定提供所需的备品备件。</w:t>
      </w:r>
    </w:p>
    <w:p w14:paraId="65ADAF24">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9、质量保证</w:t>
      </w:r>
    </w:p>
    <w:p w14:paraId="5324EBE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9-1、质量保证期为终验合格之日起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w:t>
      </w:r>
    </w:p>
    <w:p w14:paraId="4A7B692B">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9-2、卖方应保证合同项下所供货物是合同规定厂家制造的、全新的、未使用过的，并完全符合合同规定的质量、规格和性能要求的合格货物。</w:t>
      </w:r>
      <w:r>
        <w:rPr>
          <w:rFonts w:hint="eastAsia" w:ascii="宋体" w:hAnsi="宋体" w:eastAsia="宋体" w:cs="宋体"/>
          <w:sz w:val="24"/>
          <w:highlight w:val="none"/>
          <w:lang w:bidi="ar"/>
        </w:rPr>
        <w:t>货物应符合【具体的国家标准、行业标准或企业标准】。</w:t>
      </w:r>
      <w:r>
        <w:rPr>
          <w:rFonts w:hint="eastAsia" w:ascii="宋体" w:hAnsi="宋体" w:eastAsia="宋体" w:cs="宋体"/>
          <w:sz w:val="24"/>
          <w:highlight w:val="none"/>
        </w:rPr>
        <w:t>卖方应保证其货物在正确安装、正常使用和保养条件下，在其使用寿命期内应具有满意的性能。在货物的质量保证期内，卖方对由于设计、工艺或材料等的缺陷而产生的故障负责。</w:t>
      </w:r>
    </w:p>
    <w:p w14:paraId="7B7E6571">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9-3、根据检验结果或者在质量保证期内，如果货物的数量、质量或规格与合同不符，或证实货物是有缺陷的，包括潜在的缺陷，买方应尽快以书面形式向卖方提出所发现的缺陷。</w:t>
      </w:r>
    </w:p>
    <w:p w14:paraId="3B06A38D">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9-4、卖方收到通知后应在招标文件规定的时间内以合理的速度免费维修或更换有缺陷的货物或部件。</w:t>
      </w:r>
      <w:r>
        <w:rPr>
          <w:rFonts w:hint="eastAsia" w:ascii="宋体" w:hAnsi="宋体" w:eastAsia="宋体" w:cs="宋体"/>
          <w:sz w:val="24"/>
          <w:highlight w:val="none"/>
          <w:lang w:bidi="ar"/>
        </w:rPr>
        <w:t>如卖方未能在规定时间内响应维修请求，买方有权要求卖方支付违约金，违约金金额为合同价的1%。</w:t>
      </w:r>
    </w:p>
    <w:p w14:paraId="08BD29A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14:paraId="5BF46FF8">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10、索赔</w:t>
      </w:r>
    </w:p>
    <w:p w14:paraId="4B7857A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10-1、如果卖方对偏差负有责任，而买方在安装、调试、验收和质量保证期内提出了索赔，卖方应按照买方同意的下列一种或几种方式结合起来解决索赔事宜：</w:t>
      </w:r>
    </w:p>
    <w:p w14:paraId="62C89F33">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14:paraId="4590646F">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（2）根据货物的偏差情况、损坏程度、以及买方所遭受损失的金额，经买卖双方商定降低货物的价格。</w:t>
      </w:r>
    </w:p>
    <w:p w14:paraId="4F69C84C">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14:paraId="2835DA83">
      <w:pPr>
        <w:autoSpaceDE w:val="0"/>
        <w:autoSpaceDN w:val="0"/>
        <w:spacing w:line="480" w:lineRule="exact"/>
        <w:rPr>
          <w:rFonts w:hint="eastAsia" w:ascii="宋体" w:hAnsi="宋体" w:eastAsia="宋体" w:cs="宋体"/>
          <w:sz w:val="24"/>
          <w:highlight w:val="none"/>
        </w:rPr>
      </w:pPr>
      <w:r>
        <w:rPr>
          <w:rFonts w:hint="eastAsia" w:ascii="宋体" w:hAnsi="宋体" w:eastAsia="宋体" w:cs="宋体"/>
          <w:sz w:val="24"/>
          <w:highlight w:val="none"/>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0C915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11、变更指令</w:t>
      </w:r>
    </w:p>
    <w:p w14:paraId="3E303721">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11-1、买方可以在任何时候书面向卖方发出指令，在本合同的一般范围内变更下述一项或几项：</w:t>
      </w:r>
    </w:p>
    <w:p w14:paraId="5ABFD13E">
      <w:pPr>
        <w:autoSpaceDN w:val="0"/>
        <w:adjustRightInd w:val="0"/>
        <w:spacing w:line="480" w:lineRule="exact"/>
        <w:ind w:firstLine="480" w:firstLineChars="200"/>
        <w:rPr>
          <w:rFonts w:hint="eastAsia" w:ascii="宋体" w:hAnsi="宋体" w:eastAsia="宋体" w:cs="宋体"/>
          <w:spacing w:val="-4"/>
          <w:kern w:val="0"/>
          <w:sz w:val="24"/>
          <w:highlight w:val="none"/>
        </w:rPr>
      </w:pPr>
      <w:r>
        <w:rPr>
          <w:rFonts w:hint="eastAsia" w:ascii="宋体" w:hAnsi="宋体" w:eastAsia="宋体" w:cs="宋体"/>
          <w:kern w:val="0"/>
          <w:sz w:val="24"/>
          <w:highlight w:val="none"/>
        </w:rPr>
        <w:t>（1）</w:t>
      </w:r>
      <w:r>
        <w:rPr>
          <w:rFonts w:hint="eastAsia" w:ascii="宋体" w:hAnsi="宋体" w:eastAsia="宋体" w:cs="宋体"/>
          <w:spacing w:val="-4"/>
          <w:kern w:val="0"/>
          <w:sz w:val="24"/>
          <w:highlight w:val="none"/>
        </w:rPr>
        <w:t>本合同项下提供的货物是专为买方制造时，变更图纸、设计或规格；</w:t>
      </w:r>
    </w:p>
    <w:p w14:paraId="0BCB12B7">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（2）运输或包装的方法；</w:t>
      </w:r>
    </w:p>
    <w:p w14:paraId="0899AC22">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（3）交货地点；</w:t>
      </w:r>
    </w:p>
    <w:p w14:paraId="0A6D49E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（4）卖方提供的服务。</w:t>
      </w:r>
    </w:p>
    <w:p w14:paraId="1DB9DE12">
      <w:pPr>
        <w:autoSpaceDN w:val="0"/>
        <w:adjustRightInd w:val="0"/>
        <w:spacing w:line="480" w:lineRule="exact"/>
        <w:ind w:firstLine="464" w:firstLineChars="200"/>
        <w:rPr>
          <w:rFonts w:hint="eastAsia" w:ascii="宋体" w:hAnsi="宋体" w:eastAsia="宋体" w:cs="宋体"/>
          <w:spacing w:val="-4"/>
          <w:kern w:val="0"/>
          <w:sz w:val="24"/>
          <w:highlight w:val="none"/>
        </w:rPr>
      </w:pPr>
      <w:r>
        <w:rPr>
          <w:rFonts w:hint="eastAsia" w:ascii="宋体" w:hAnsi="宋体" w:eastAsia="宋体" w:cs="宋体"/>
          <w:spacing w:val="-4"/>
          <w:kern w:val="0"/>
          <w:sz w:val="24"/>
          <w:highlight w:val="none"/>
        </w:rPr>
        <w:t>11-2、</w:t>
      </w:r>
      <w:r>
        <w:rPr>
          <w:rFonts w:hint="eastAsia" w:ascii="宋体" w:hAnsi="宋体" w:eastAsia="宋体" w:cs="宋体"/>
          <w:kern w:val="0"/>
          <w:sz w:val="24"/>
          <w:highlight w:val="none"/>
        </w:rPr>
        <w:t>如果上述变更使卖方履行合同义务的费用或时间增加或减少，将对合同价或交货时间或两者进行公平的调整，同时相应修改合同。卖方根据本条进行调整的要求必须在收到买方的变更指令后七（7）天内提出。</w:t>
      </w:r>
    </w:p>
    <w:p w14:paraId="7E890B4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12、合同修改</w:t>
      </w:r>
    </w:p>
    <w:p w14:paraId="6A82086A">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除了合同条款第11条的情况，不应对合同条款进行任何变更或修改，除非双方同意并签订书面的合同修改书。</w:t>
      </w:r>
    </w:p>
    <w:p w14:paraId="1989CD1C">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13、转让</w:t>
      </w:r>
    </w:p>
    <w:p w14:paraId="568E75A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未经买方事先书面同意，卖方不得部分转让或全部转让其应履行的合同义务。</w:t>
      </w:r>
    </w:p>
    <w:p w14:paraId="3244504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14、卖方履约延误</w:t>
      </w:r>
    </w:p>
    <w:p w14:paraId="01C867A6">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14-1、卖方应按照本项目招标文件“商务条款”中规定的交货时间交货和提供服务。</w:t>
      </w:r>
    </w:p>
    <w:p w14:paraId="003CF319">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D46A481">
      <w:pPr>
        <w:autoSpaceDN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14-3、除合同条款第19条规定的情况外,除非拖延是根据合同条款第14-2条的规定取得同意而不收取误期赔偿费之外，卖方延误交货，将按合同条款第16条的规定被收取误期赔偿费。</w:t>
      </w:r>
    </w:p>
    <w:p w14:paraId="5A21CFF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15、验收</w:t>
      </w:r>
    </w:p>
    <w:p w14:paraId="5E33D78C">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15-1、项目验收分初验和终验:</w:t>
      </w:r>
    </w:p>
    <w:p w14:paraId="05E10522">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初验：货物到达交货地点后，由使用单位（买方）根据合同对货物的名称、品牌、规格、型号、产地、数量在</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个日历日进行检查。</w:t>
      </w:r>
      <w:r>
        <w:rPr>
          <w:rFonts w:hint="eastAsia" w:ascii="宋体" w:hAnsi="宋体" w:eastAsia="宋体" w:cs="宋体"/>
          <w:sz w:val="24"/>
          <w:highlight w:val="none"/>
          <w:lang w:bidi="ar"/>
        </w:rPr>
        <w:t>具体验收标准和方法包括但不限于：</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1. 货物的外观无损坏，无明显瑕疵；</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2. 货物的包装完整，无破损；</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3. 货物的数量与合同约定相符；</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4. 货物的品牌、规格、型号与合同约定相符；</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5. 货物的产地与合同约定相符。检验机构【如有】为【具体检验机构名称】，检验方式为【抽样检验/逐一检验】，检验期限为【     】个日历日。</w:t>
      </w:r>
    </w:p>
    <w:p w14:paraId="248E92B7">
      <w:pPr>
        <w:widowControl w:val="0"/>
        <w:jc w:val="both"/>
        <w:rPr>
          <w:rFonts w:ascii="Calibri" w:hAnsi="Calibri" w:eastAsia="宋体" w:cs="Times New Roman"/>
          <w:kern w:val="2"/>
          <w:sz w:val="21"/>
          <w:szCs w:val="22"/>
          <w:highlight w:val="none"/>
          <w:lang w:val="en-US" w:eastAsia="zh-CN" w:bidi="ar-SA"/>
        </w:rPr>
      </w:pPr>
    </w:p>
    <w:p w14:paraId="0C9F3426">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rPr>
        <w:t>终验：所有货物安装完毕之日起10个日历日后，由采购人（买方）、使用单位进行验收，合格后签发《验收合格单》。</w:t>
      </w:r>
      <w:r>
        <w:rPr>
          <w:rFonts w:hint="eastAsia" w:ascii="宋体" w:hAnsi="宋体" w:eastAsia="宋体" w:cs="宋体"/>
          <w:sz w:val="24"/>
          <w:highlight w:val="none"/>
          <w:lang w:bidi="ar"/>
        </w:rPr>
        <w:t>具体验收标准和方法包括但不限于：</w:t>
      </w:r>
    </w:p>
    <w:p w14:paraId="52A05C16">
      <w:pPr>
        <w:widowControl/>
        <w:numPr>
          <w:ilvl w:val="0"/>
          <w:numId w:val="2"/>
        </w:numPr>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货物的外观无损坏，无明显瑕疵；</w:t>
      </w:r>
    </w:p>
    <w:p w14:paraId="6CF9A05D">
      <w:pPr>
        <w:widowControl/>
        <w:numPr>
          <w:ilvl w:val="255"/>
          <w:numId w:val="0"/>
        </w:numPr>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2. 货物的功能符合合同及招标文件的要求；</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3. 货物的性能指标达到合同及招标文件规定的标准；</w:t>
      </w:r>
      <w:r>
        <w:rPr>
          <w:rFonts w:hint="eastAsia" w:ascii="宋体" w:hAnsi="宋体" w:eastAsia="宋体" w:cs="宋体"/>
          <w:sz w:val="24"/>
          <w:highlight w:val="none"/>
          <w:lang w:bidi="ar"/>
        </w:rPr>
        <w:br w:type="textWrapping"/>
      </w:r>
      <w:r>
        <w:rPr>
          <w:rFonts w:hint="eastAsia" w:ascii="宋体" w:hAnsi="宋体" w:eastAsia="宋体" w:cs="宋体"/>
          <w:sz w:val="24"/>
          <w:highlight w:val="none"/>
          <w:lang w:bidi="ar"/>
        </w:rPr>
        <w:t xml:space="preserve">    4. 货物的安装、调试符合合同及招标文件的要求；</w:t>
      </w:r>
    </w:p>
    <w:p w14:paraId="3F8A10F6">
      <w:pPr>
        <w:widowControl/>
        <w:spacing w:line="500" w:lineRule="exact"/>
        <w:ind w:firstLine="480" w:firstLineChars="200"/>
        <w:jc w:val="left"/>
        <w:rPr>
          <w:rFonts w:hint="eastAsia" w:ascii="宋体" w:hAnsi="宋体" w:eastAsia="宋体" w:cs="宋体"/>
          <w:sz w:val="24"/>
          <w:highlight w:val="none"/>
          <w:lang w:bidi="ar"/>
        </w:rPr>
      </w:pPr>
      <w:r>
        <w:rPr>
          <w:rFonts w:hint="eastAsia" w:ascii="宋体" w:hAnsi="宋体" w:eastAsia="宋体" w:cs="宋体"/>
          <w:sz w:val="24"/>
          <w:highlight w:val="none"/>
          <w:lang w:bidi="ar"/>
        </w:rPr>
        <w:t>5.货物实现正常使用目的；</w:t>
      </w:r>
    </w:p>
    <w:p w14:paraId="2EB98CE7">
      <w:pPr>
        <w:widowControl/>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lang w:bidi="ar"/>
        </w:rPr>
        <w:t>6. 货物的文档资料齐全，包括但不限于操作手册、维护手册、质量保证书等。检验机构为【如有，具体检验机构名称】，检验方式为【抽样检验/逐一检验】，检验期限为【      】个日历日。</w:t>
      </w:r>
      <w:r>
        <w:rPr>
          <w:rFonts w:hint="eastAsia" w:ascii="宋体" w:hAnsi="宋体" w:eastAsia="宋体" w:cs="宋体"/>
          <w:sz w:val="24"/>
          <w:highlight w:val="none"/>
        </w:rPr>
        <w:cr/>
      </w:r>
      <w:r>
        <w:rPr>
          <w:rFonts w:hint="eastAsia" w:ascii="宋体" w:hAnsi="宋体" w:eastAsia="宋体" w:cs="宋体"/>
          <w:sz w:val="24"/>
          <w:highlight w:val="none"/>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14:paraId="1F5F4419">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15-3、验收依据</w:t>
      </w:r>
    </w:p>
    <w:p w14:paraId="24C4462E">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 xml:space="preserve">（1）合同文本及合同补充文件（条款）。 </w:t>
      </w:r>
    </w:p>
    <w:p w14:paraId="18C5170C">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（2）产品的合法来源渠道证明文件。</w:t>
      </w:r>
    </w:p>
    <w:p w14:paraId="5C11F402">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（3）买方招标文件。</w:t>
      </w:r>
    </w:p>
    <w:p w14:paraId="37CAE9F6">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（4）成交供应商的投标文件。</w:t>
      </w:r>
    </w:p>
    <w:p w14:paraId="7E7E5828">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（5）合同货物清单。</w:t>
      </w:r>
    </w:p>
    <w:p w14:paraId="5008F5E9">
      <w:pPr>
        <w:adjustRightInd w:val="0"/>
        <w:snapToGrid w:val="0"/>
        <w:spacing w:line="50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rPr>
        <w:t>（6）生产厂家的企业资质、货物的执行标准。</w:t>
      </w:r>
    </w:p>
    <w:p w14:paraId="02CEBD6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16、误期赔偿费</w:t>
      </w:r>
    </w:p>
    <w:p w14:paraId="504485A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sz w:val="24"/>
          <w:highlight w:val="none"/>
        </w:rPr>
        <w:t>除合同条款第19条规定的情况外，如果卖方没有按照合同规定的时间交货和提供服务，买方应在不影响</w:t>
      </w:r>
      <w:r>
        <w:rPr>
          <w:rFonts w:hint="eastAsia" w:ascii="宋体" w:hAnsi="宋体" w:eastAsia="宋体" w:cs="宋体"/>
          <w:kern w:val="0"/>
          <w:sz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C97B0B">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17、违约终止合同</w:t>
      </w:r>
    </w:p>
    <w:p w14:paraId="1F823821">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17-1、在买方对卖方违约而采取的任何补救措施不受影响的情况下，买方有权向卖方发出书面违约通知书，提出终止部分或全部合同：</w:t>
      </w:r>
    </w:p>
    <w:p w14:paraId="61B00973">
      <w:pPr>
        <w:widowControl/>
        <w:autoSpaceDN w:val="0"/>
        <w:adjustRightInd w:val="0"/>
        <w:spacing w:line="480" w:lineRule="exact"/>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（1）如果卖方未能在合同规定的期限内，</w:t>
      </w:r>
      <w:r>
        <w:rPr>
          <w:rFonts w:hint="eastAsia" w:ascii="宋体" w:hAnsi="宋体" w:eastAsia="宋体" w:cs="宋体"/>
          <w:kern w:val="0"/>
          <w:sz w:val="24"/>
          <w:highlight w:val="none"/>
          <w:lang w:bidi="ar"/>
        </w:rPr>
        <w:t>即202X年XX月XX日前，</w:t>
      </w:r>
      <w:r>
        <w:rPr>
          <w:rFonts w:hint="eastAsia" w:ascii="宋体" w:hAnsi="宋体" w:eastAsia="宋体" w:cs="宋体"/>
          <w:kern w:val="0"/>
          <w:sz w:val="24"/>
          <w:highlight w:val="none"/>
        </w:rPr>
        <w:t>或买方根据合同条款第14-2条的规定同意延长的期限内提供部分或全部货物；或</w:t>
      </w:r>
      <w:r>
        <w:rPr>
          <w:rFonts w:hint="eastAsia" w:ascii="宋体" w:hAnsi="宋体" w:eastAsia="宋体" w:cs="宋体"/>
          <w:sz w:val="24"/>
          <w:highlight w:val="none"/>
        </w:rPr>
        <w:t>误期赔偿费达到最高限额</w:t>
      </w:r>
      <w:r>
        <w:rPr>
          <w:rFonts w:hint="eastAsia" w:ascii="宋体" w:hAnsi="宋体" w:eastAsia="宋体" w:cs="宋体"/>
          <w:kern w:val="0"/>
          <w:sz w:val="24"/>
          <w:highlight w:val="none"/>
          <w:lang w:bidi="ar"/>
        </w:rPr>
        <w:t>时，买方可以选择终止合同。</w:t>
      </w:r>
    </w:p>
    <w:p w14:paraId="39677B3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（2）如果卖方未能履行合同规定的其它任何义务，则应承担合同约定价20%的违约金。</w:t>
      </w:r>
    </w:p>
    <w:p w14:paraId="51EE98D0">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（3）如果买方认为卖方在本合同的竞争和实施过程中有腐败和欺诈行为。为此目的，定义下述条件：</w:t>
      </w:r>
    </w:p>
    <w:p w14:paraId="4969475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“腐败行为”是指提供、给予、接受或索取任何有价值的物品来影响买方在采购过程或合同实施过程中的行为。</w:t>
      </w:r>
    </w:p>
    <w:p w14:paraId="66E3B8E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“欺诈行为”是指为了影响采购过程或合同实施过程而谎报或隐瞒事实，损害买方利益的行为。</w:t>
      </w:r>
    </w:p>
    <w:p w14:paraId="4938D134">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3BE9195">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18、不可抗力</w:t>
      </w:r>
    </w:p>
    <w:p w14:paraId="60E3C4DD">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33EB">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5488BD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18-3、因合同一方迟延履行合同后发生不可抗力的，不能免除迟延履行方的相应责任。</w:t>
      </w:r>
    </w:p>
    <w:p w14:paraId="0B29D6A2">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19、因破产而终止合同</w:t>
      </w:r>
    </w:p>
    <w:p w14:paraId="5F1BAD50">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3D4B33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20、因买方的便利而终止合同</w:t>
      </w:r>
    </w:p>
    <w:p w14:paraId="51EB7CE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20-1、买方可在任何时候出于自身的便利向卖方发出书面通知全部或部分终止合同，终止通知应明确该终止合同是出于买方的便利，并明确合同终止的程度，以及终止的生效日期。</w:t>
      </w:r>
    </w:p>
    <w:p w14:paraId="5223676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20-2、对卖方收到终止通知后十（10）天内已完成并准备装运的货物，买方应按原合同价格和条款予以接收，对于剩下的货物，买方可：</w:t>
      </w:r>
    </w:p>
    <w:p w14:paraId="3343EC0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（1）仅对部分货物按照原来的合同价格和条款予以接受；</w:t>
      </w:r>
    </w:p>
    <w:p w14:paraId="4FC2DF8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（2）取消对所剩货物的采购，并按双方商定的金额向卖方支付部分完成的货物和服务以及卖方以前已采购的材料和部件的费用。</w:t>
      </w:r>
    </w:p>
    <w:p w14:paraId="0205F1B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21、争议的解决</w:t>
      </w:r>
    </w:p>
    <w:p w14:paraId="3917EC9A">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5DC9CF9">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22、适用法律</w:t>
      </w:r>
    </w:p>
    <w:p w14:paraId="5B7EE2C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本合同应按照中华人民共和国的现行法律进行解释。</w:t>
      </w:r>
    </w:p>
    <w:p w14:paraId="2DCFFDAF">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23、通知</w:t>
      </w:r>
    </w:p>
    <w:p w14:paraId="1F43FE4A">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23-1、本合同一方给对方的通知应用书面形式送到合同专用条款中规定的对方的地址。传真要经书面确认。</w:t>
      </w:r>
    </w:p>
    <w:p w14:paraId="0E7F1CF3">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23-2、通知以送到日期或通知书的生效日期为生效日期，两者中以晚的一个日期为准。</w:t>
      </w:r>
    </w:p>
    <w:p w14:paraId="3D86555E">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24、税款</w:t>
      </w:r>
    </w:p>
    <w:p w14:paraId="6585CEBD">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24-1、按照中华人民共和国税法和有关部门的规定，买方需交纳的与本合同有关的一切税费均应由买方负担。</w:t>
      </w:r>
    </w:p>
    <w:p w14:paraId="59590F76">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24-2、按照中华人民共和国税法和有关部门的规定，卖方需交纳的与本合同有关的一切税费均应由卖方负担。</w:t>
      </w:r>
    </w:p>
    <w:p w14:paraId="48B303CC">
      <w:pPr>
        <w:autoSpaceDN w:val="0"/>
        <w:adjustRightInd w:val="0"/>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25、合同生效</w:t>
      </w:r>
    </w:p>
    <w:p w14:paraId="16A59276">
      <w:pPr>
        <w:spacing w:line="480" w:lineRule="exact"/>
        <w:ind w:firstLine="424" w:firstLineChars="177"/>
        <w:rPr>
          <w:rFonts w:hint="eastAsia" w:ascii="宋体" w:hAnsi="宋体" w:eastAsia="宋体" w:cs="宋体"/>
          <w:kern w:val="0"/>
          <w:sz w:val="24"/>
          <w:highlight w:val="none"/>
        </w:rPr>
      </w:pPr>
      <w:r>
        <w:rPr>
          <w:rFonts w:hint="eastAsia" w:ascii="宋体" w:hAnsi="宋体" w:eastAsia="宋体" w:cs="宋体"/>
          <w:kern w:val="0"/>
          <w:sz w:val="24"/>
          <w:highlight w:val="none"/>
        </w:rPr>
        <w:t>本合同由买卖双方法定代表人/授权代表及鉴证方共同签字并加盖公章/合同专用章之日起生效。</w:t>
      </w:r>
    </w:p>
    <w:p w14:paraId="68F07B2D">
      <w:pPr>
        <w:widowControl w:val="0"/>
        <w:jc w:val="both"/>
        <w:rPr>
          <w:rFonts w:hint="eastAsia" w:ascii="宋体" w:hAnsi="宋体" w:eastAsia="宋体" w:cs="宋体"/>
          <w:kern w:val="0"/>
          <w:sz w:val="24"/>
          <w:szCs w:val="22"/>
          <w:highlight w:val="none"/>
          <w:lang w:val="en-US" w:eastAsia="zh-CN" w:bidi="ar-SA"/>
        </w:rPr>
      </w:pPr>
    </w:p>
    <w:p w14:paraId="6CB26408">
      <w:pPr>
        <w:widowControl w:val="0"/>
        <w:jc w:val="both"/>
        <w:rPr>
          <w:rFonts w:hint="eastAsia" w:ascii="宋体" w:hAnsi="宋体" w:eastAsia="宋体" w:cs="宋体"/>
          <w:kern w:val="0"/>
          <w:sz w:val="24"/>
          <w:szCs w:val="22"/>
          <w:highlight w:val="none"/>
          <w:lang w:val="en-US" w:eastAsia="zh-CN" w:bidi="ar-SA"/>
        </w:rPr>
      </w:pPr>
    </w:p>
    <w:p w14:paraId="12B47C52">
      <w:pPr>
        <w:widowControl w:val="0"/>
        <w:jc w:val="both"/>
        <w:rPr>
          <w:rFonts w:hint="eastAsia" w:ascii="宋体" w:hAnsi="宋体" w:eastAsia="宋体" w:cs="宋体"/>
          <w:kern w:val="0"/>
          <w:sz w:val="24"/>
          <w:szCs w:val="22"/>
          <w:highlight w:val="none"/>
          <w:lang w:val="en-US" w:eastAsia="zh-CN" w:bidi="ar-SA"/>
        </w:rPr>
      </w:pPr>
    </w:p>
    <w:p w14:paraId="3112218B">
      <w:pPr>
        <w:widowControl w:val="0"/>
        <w:jc w:val="both"/>
        <w:rPr>
          <w:rFonts w:hint="eastAsia" w:ascii="宋体" w:hAnsi="宋体" w:eastAsia="宋体" w:cs="宋体"/>
          <w:kern w:val="0"/>
          <w:sz w:val="24"/>
          <w:szCs w:val="22"/>
          <w:highlight w:val="none"/>
          <w:lang w:val="en-US" w:eastAsia="zh-CN" w:bidi="ar-SA"/>
        </w:rPr>
      </w:pPr>
    </w:p>
    <w:p w14:paraId="1F9D9D7A">
      <w:pPr>
        <w:rPr>
          <w:rFonts w:hint="eastAsia" w:ascii="宋体" w:hAnsi="宋体" w:cs="宋体"/>
          <w:kern w:val="0"/>
          <w:sz w:val="24"/>
          <w:highlight w:val="none"/>
        </w:rPr>
        <w:sectPr>
          <w:pgSz w:w="11906" w:h="16838"/>
          <w:pgMar w:top="1418" w:right="1418" w:bottom="1418" w:left="1134" w:header="907" w:footer="1021" w:gutter="567"/>
          <w:pgNumType w:start="1"/>
          <w:cols w:space="720" w:num="1"/>
          <w:docGrid w:linePitch="312" w:charSpace="0"/>
        </w:sectPr>
      </w:pPr>
    </w:p>
    <w:p w14:paraId="7CAF0BD6">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附件1—货物清单</w:t>
      </w:r>
    </w:p>
    <w:p w14:paraId="62660B9F">
      <w:pPr>
        <w:widowControl w:val="0"/>
        <w:jc w:val="both"/>
        <w:rPr>
          <w:rFonts w:ascii="Calibri" w:hAnsi="Calibri" w:eastAsia="宋体" w:cs="Times New Roman"/>
          <w:kern w:val="2"/>
          <w:sz w:val="21"/>
          <w:szCs w:val="22"/>
          <w:highlight w:val="none"/>
          <w:lang w:val="en-US" w:eastAsia="zh-CN" w:bidi="ar-SA"/>
        </w:rPr>
      </w:pPr>
    </w:p>
    <w:tbl>
      <w:tblPr>
        <w:tblStyle w:val="3"/>
        <w:tblW w:w="14965" w:type="dxa"/>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14:paraId="105CC564">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序号</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126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名 称</w:t>
            </w: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462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品牌/型号</w:t>
            </w: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386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7A2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规格和说明</w:t>
            </w: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0A5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单位</w:t>
            </w: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5D8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数量</w:t>
            </w: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8D0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highlight w:val="none"/>
                <w:lang w:bidi="ar"/>
              </w:rPr>
            </w:pPr>
            <w:r>
              <w:rPr>
                <w:rFonts w:hint="eastAsia" w:ascii="宋体" w:hAnsi="宋体" w:eastAsia="宋体" w:cs="宋体"/>
                <w:b/>
                <w:kern w:val="0"/>
                <w:sz w:val="24"/>
                <w:highlight w:val="none"/>
                <w:lang w:bidi="ar"/>
              </w:rPr>
              <w:t>单价</w:t>
            </w:r>
          </w:p>
          <w:p w14:paraId="2D6A65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（人民币元）</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875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highlight w:val="none"/>
                <w:lang w:bidi="ar"/>
              </w:rPr>
            </w:pPr>
            <w:r>
              <w:rPr>
                <w:rFonts w:hint="eastAsia" w:ascii="宋体" w:hAnsi="宋体" w:eastAsia="宋体" w:cs="宋体"/>
                <w:b/>
                <w:kern w:val="0"/>
                <w:sz w:val="24"/>
                <w:highlight w:val="none"/>
                <w:lang w:bidi="ar"/>
              </w:rPr>
              <w:t>总价</w:t>
            </w:r>
          </w:p>
          <w:p w14:paraId="565EDD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（人民币元）</w:t>
            </w:r>
          </w:p>
        </w:tc>
      </w:tr>
      <w:tr w14:paraId="585FE912">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D4E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1</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78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5DE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05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66AF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highlight w:val="none"/>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1FB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3A83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C5B1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9098C">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2D055A20">
        <w:tblPrEx>
          <w:tblCellMar>
            <w:top w:w="0" w:type="dxa"/>
            <w:left w:w="0" w:type="dxa"/>
            <w:bottom w:w="0" w:type="dxa"/>
            <w:right w:w="0" w:type="dxa"/>
          </w:tblCellMar>
        </w:tblPrEx>
        <w:trPr>
          <w:trHeight w:val="502"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D2D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2</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85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5B8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22C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2D9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highlight w:val="none"/>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96C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636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B15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5E816">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017851DE">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F58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3</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4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63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66A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269C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1E1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40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1A8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5A2EF">
            <w:pPr>
              <w:keepNext w:val="0"/>
              <w:keepLines w:val="0"/>
              <w:suppressLineNumbers w:val="0"/>
              <w:spacing w:before="0" w:beforeAutospacing="0" w:after="0" w:afterAutospacing="0"/>
              <w:ind w:left="0" w:right="0"/>
              <w:rPr>
                <w:rFonts w:hint="eastAsia" w:ascii="宋体" w:hAnsi="宋体" w:eastAsia="宋体" w:cs="宋体"/>
                <w:sz w:val="24"/>
                <w:highlight w:val="none"/>
              </w:rPr>
            </w:pPr>
          </w:p>
        </w:tc>
      </w:tr>
      <w:tr w14:paraId="1F1C2B44">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957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FC6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E4510">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w:t>
            </w:r>
          </w:p>
        </w:tc>
      </w:tr>
      <w:tr w14:paraId="0EFAD94D">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488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3C3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1F1A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18A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5AE06644">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F0B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843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17856">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24C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1E74E49A">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02F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436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92FEC">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04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0</w:t>
            </w:r>
          </w:p>
        </w:tc>
      </w:tr>
      <w:tr w14:paraId="407D9626">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2A1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884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AE344">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highlight w:val="none"/>
              </w:rPr>
            </w:pPr>
            <w:r>
              <w:rPr>
                <w:rFonts w:hint="eastAsia" w:ascii="宋体" w:hAnsi="宋体" w:eastAsia="宋体" w:cs="宋体"/>
                <w:kern w:val="0"/>
                <w:sz w:val="24"/>
                <w:highlight w:val="none"/>
                <w:lang w:bidi="ar"/>
              </w:rPr>
              <w:t xml:space="preserve">￥： </w:t>
            </w:r>
          </w:p>
        </w:tc>
      </w:tr>
      <w:tr w14:paraId="745BA1F1">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5FF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highlight w:val="none"/>
              </w:rPr>
            </w:pPr>
            <w:r>
              <w:rPr>
                <w:rFonts w:hint="eastAsia" w:ascii="宋体" w:hAnsi="宋体" w:eastAsia="宋体" w:cs="宋体"/>
                <w:b/>
                <w:kern w:val="0"/>
                <w:sz w:val="24"/>
                <w:highlight w:val="none"/>
                <w:lang w:bidi="ar"/>
              </w:rPr>
              <w:t>总报价含（安装调试、运输费、税费、售后服务费、技术培训费、伴随费用等）</w:t>
            </w:r>
          </w:p>
        </w:tc>
      </w:tr>
    </w:tbl>
    <w:p w14:paraId="7A608313">
      <w:pPr>
        <w:adjustRightInd w:val="0"/>
        <w:snapToGrid w:val="0"/>
        <w:spacing w:line="480" w:lineRule="exact"/>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交货期：自合同签订</w:t>
      </w:r>
      <w:r>
        <w:rPr>
          <w:rFonts w:hint="eastAsia" w:ascii="宋体" w:hAnsi="宋体" w:eastAsia="宋体" w:cs="Times New Roman"/>
          <w:b/>
          <w:bCs/>
          <w:kern w:val="0"/>
          <w:sz w:val="24"/>
          <w:highlight w:val="none"/>
        </w:rPr>
        <w:t>后</w:t>
      </w:r>
      <w:r>
        <w:rPr>
          <w:rFonts w:hint="eastAsia" w:ascii="宋体" w:hAnsi="宋体" w:eastAsia="宋体" w:cs="Times New Roman"/>
          <w:b/>
          <w:bCs/>
          <w:kern w:val="0"/>
          <w:sz w:val="24"/>
          <w:highlight w:val="none"/>
          <w:u w:val="single"/>
        </w:rPr>
        <w:t xml:space="preserve">            </w:t>
      </w:r>
      <w:r>
        <w:rPr>
          <w:rFonts w:hint="eastAsia" w:ascii="宋体" w:hAnsi="宋体" w:eastAsia="宋体" w:cs="Times New Roman"/>
          <w:b/>
          <w:bCs/>
          <w:kern w:val="0"/>
          <w:sz w:val="24"/>
          <w:highlight w:val="none"/>
        </w:rPr>
        <w:t>个日历日</w:t>
      </w:r>
      <w:r>
        <w:rPr>
          <w:rFonts w:hint="eastAsia" w:ascii="宋体" w:hAnsi="宋体" w:eastAsia="宋体" w:cs="宋体"/>
          <w:b/>
          <w:bCs/>
          <w:kern w:val="0"/>
          <w:sz w:val="24"/>
          <w:highlight w:val="none"/>
        </w:rPr>
        <w:t>内</w:t>
      </w:r>
    </w:p>
    <w:p w14:paraId="639158BA">
      <w:pPr>
        <w:adjustRightInd w:val="0"/>
        <w:snapToGrid w:val="0"/>
        <w:spacing w:line="480" w:lineRule="exact"/>
        <w:rPr>
          <w:rFonts w:hint="eastAsia" w:ascii="宋体" w:hAnsi="宋体" w:eastAsia="宋体" w:cs="Times New Roman"/>
          <w:b/>
          <w:bCs/>
          <w:kern w:val="0"/>
          <w:sz w:val="24"/>
          <w:highlight w:val="none"/>
        </w:rPr>
      </w:pPr>
      <w:r>
        <w:rPr>
          <w:rFonts w:hint="eastAsia" w:ascii="宋体" w:hAnsi="宋体" w:eastAsia="宋体" w:cs="Times New Roman"/>
          <w:b/>
          <w:bCs/>
          <w:kern w:val="0"/>
          <w:sz w:val="24"/>
          <w:highlight w:val="none"/>
        </w:rPr>
        <w:t>注：该项目招、投标文件为本合同的附件：详细技术参数详见该项目招、投标文件。</w:t>
      </w:r>
    </w:p>
    <w:p w14:paraId="5A05B5E7">
      <w:pPr>
        <w:rPr>
          <w:highlight w:val="none"/>
        </w:rPr>
        <w:sectPr>
          <w:pgSz w:w="16838" w:h="11906" w:orient="landscape"/>
          <w:pgMar w:top="1134" w:right="1418" w:bottom="1418" w:left="1418" w:header="907" w:footer="1021" w:gutter="567"/>
          <w:cols w:space="720" w:num="1"/>
          <w:docGrid w:linePitch="312" w:charSpace="0"/>
        </w:sectPr>
      </w:pPr>
    </w:p>
    <w:p w14:paraId="2820530F">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附件2—质量保证承诺（参考模板）</w:t>
      </w:r>
    </w:p>
    <w:p w14:paraId="7B1F2E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我公司对所提供的货物及服务做出如下承诺：</w:t>
      </w:r>
    </w:p>
    <w:p w14:paraId="765186D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1、保证设备包装符合防潮、防雨、防锈、防腐及防震要求，标识清晰无误，使物品安全、及时运抵现场。</w:t>
      </w:r>
    </w:p>
    <w:p w14:paraId="30ADDE9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2、优质、快捷的技术服务</w:t>
      </w:r>
    </w:p>
    <w:p w14:paraId="193FFDA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为更好地保证设备的正常运行，及时解答用户提出的疑问，帮助用户解决问题，公司的售后中心，负责各地的维护和技术咨询等服务。售后中心由专职工程师负责随时为客户免费提供技术咨询服务。</w:t>
      </w:r>
    </w:p>
    <w:p w14:paraId="46F394A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3、定期巡检</w:t>
      </w:r>
    </w:p>
    <w:p w14:paraId="099A134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公司组织每年对运行的设备巡检不少于两次。公司巡检工程技术人员为主，有设计人员参与。并听取用户维护人员反映的问题及建议。</w:t>
      </w:r>
    </w:p>
    <w:p w14:paraId="76E31B8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4、质保期</w:t>
      </w:r>
    </w:p>
    <w:p w14:paraId="01A410D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质保期：合同项下所有设备保修期为终验合格后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个月保修期内(除天灾及人为损害外)部件、原件费用、出差费用均由供方承担。</w:t>
      </w:r>
    </w:p>
    <w:p w14:paraId="0E26D94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5、建立用户档案，完善产品质量</w:t>
      </w:r>
    </w:p>
    <w:p w14:paraId="0369619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14:paraId="7CD1AE10">
      <w:pPr>
        <w:widowControl w:val="0"/>
        <w:jc w:val="both"/>
        <w:rPr>
          <w:rFonts w:ascii="Calibri" w:hAnsi="Calibri" w:eastAsia="宋体" w:cs="Times New Roman"/>
          <w:kern w:val="2"/>
          <w:sz w:val="21"/>
          <w:szCs w:val="22"/>
          <w:highlight w:val="none"/>
          <w:lang w:val="en-US" w:eastAsia="zh-CN" w:bidi="ar-SA"/>
        </w:rPr>
      </w:pPr>
    </w:p>
    <w:p w14:paraId="130F99F5">
      <w:pPr>
        <w:widowControl w:val="0"/>
        <w:jc w:val="both"/>
        <w:rPr>
          <w:rFonts w:ascii="Calibri" w:hAnsi="Calibri" w:eastAsia="宋体" w:cs="Times New Roman"/>
          <w:kern w:val="2"/>
          <w:sz w:val="21"/>
          <w:szCs w:val="22"/>
          <w:highlight w:val="none"/>
          <w:lang w:val="en-US" w:eastAsia="zh-CN" w:bidi="ar-SA"/>
        </w:rPr>
      </w:pPr>
    </w:p>
    <w:p w14:paraId="58920AB8">
      <w:pPr>
        <w:widowControl w:val="0"/>
        <w:jc w:val="both"/>
        <w:rPr>
          <w:rFonts w:ascii="Calibri" w:hAnsi="Calibri" w:eastAsia="宋体" w:cs="Times New Roman"/>
          <w:kern w:val="2"/>
          <w:sz w:val="21"/>
          <w:szCs w:val="22"/>
          <w:highlight w:val="none"/>
          <w:lang w:val="en-US" w:eastAsia="zh-CN" w:bidi="ar-SA"/>
        </w:rPr>
      </w:pPr>
    </w:p>
    <w:p w14:paraId="75B20FF4">
      <w:pPr>
        <w:widowControl w:val="0"/>
        <w:jc w:val="both"/>
        <w:rPr>
          <w:rFonts w:ascii="Calibri" w:hAnsi="Calibri" w:eastAsia="宋体" w:cs="Times New Roman"/>
          <w:kern w:val="2"/>
          <w:sz w:val="21"/>
          <w:szCs w:val="22"/>
          <w:highlight w:val="none"/>
          <w:lang w:val="en-US" w:eastAsia="zh-CN" w:bidi="ar-SA"/>
        </w:rPr>
      </w:pPr>
    </w:p>
    <w:p w14:paraId="4B1AFF0C">
      <w:pPr>
        <w:widowControl w:val="0"/>
        <w:jc w:val="both"/>
        <w:rPr>
          <w:rFonts w:ascii="Calibri" w:hAnsi="Calibri" w:eastAsia="宋体" w:cs="Times New Roman"/>
          <w:kern w:val="2"/>
          <w:sz w:val="21"/>
          <w:szCs w:val="22"/>
          <w:highlight w:val="none"/>
          <w:lang w:val="en-US" w:eastAsia="zh-CN" w:bidi="ar-SA"/>
        </w:rPr>
      </w:pPr>
    </w:p>
    <w:p w14:paraId="65B74F7E">
      <w:pPr>
        <w:widowControl w:val="0"/>
        <w:jc w:val="both"/>
        <w:rPr>
          <w:rFonts w:ascii="Calibri" w:hAnsi="Calibri" w:eastAsia="宋体" w:cs="Times New Roman"/>
          <w:kern w:val="2"/>
          <w:sz w:val="21"/>
          <w:szCs w:val="22"/>
          <w:highlight w:val="none"/>
          <w:lang w:val="en-US" w:eastAsia="zh-CN" w:bidi="ar-SA"/>
        </w:rPr>
      </w:pPr>
    </w:p>
    <w:p w14:paraId="44717056">
      <w:pPr>
        <w:widowControl w:val="0"/>
        <w:jc w:val="both"/>
        <w:rPr>
          <w:rFonts w:ascii="Calibri" w:hAnsi="Calibri" w:eastAsia="宋体" w:cs="Times New Roman"/>
          <w:kern w:val="2"/>
          <w:sz w:val="21"/>
          <w:szCs w:val="22"/>
          <w:highlight w:val="none"/>
          <w:lang w:val="en-US" w:eastAsia="zh-CN" w:bidi="ar-SA"/>
        </w:rPr>
      </w:pPr>
    </w:p>
    <w:p w14:paraId="4EEF6BBB">
      <w:pPr>
        <w:widowControl w:val="0"/>
        <w:jc w:val="both"/>
        <w:rPr>
          <w:rFonts w:ascii="Calibri" w:hAnsi="Calibri" w:eastAsia="宋体" w:cs="Times New Roman"/>
          <w:kern w:val="2"/>
          <w:sz w:val="21"/>
          <w:szCs w:val="22"/>
          <w:highlight w:val="none"/>
          <w:lang w:val="en-US" w:eastAsia="zh-CN" w:bidi="ar-SA"/>
        </w:rPr>
      </w:pPr>
    </w:p>
    <w:p w14:paraId="5204D2A1">
      <w:pPr>
        <w:widowControl w:val="0"/>
        <w:jc w:val="both"/>
        <w:rPr>
          <w:rFonts w:ascii="Calibri" w:hAnsi="Calibri" w:eastAsia="宋体" w:cs="Times New Roman"/>
          <w:kern w:val="2"/>
          <w:sz w:val="21"/>
          <w:szCs w:val="22"/>
          <w:highlight w:val="none"/>
          <w:lang w:val="en-US" w:eastAsia="zh-CN" w:bidi="ar-SA"/>
        </w:rPr>
      </w:pPr>
    </w:p>
    <w:p w14:paraId="1E114155">
      <w:pPr>
        <w:widowControl w:val="0"/>
        <w:jc w:val="both"/>
        <w:rPr>
          <w:rFonts w:ascii="Calibri" w:hAnsi="Calibri" w:eastAsia="宋体" w:cs="Times New Roman"/>
          <w:kern w:val="2"/>
          <w:sz w:val="21"/>
          <w:szCs w:val="22"/>
          <w:highlight w:val="none"/>
          <w:lang w:val="en-US" w:eastAsia="zh-CN" w:bidi="ar-SA"/>
        </w:rPr>
      </w:pPr>
    </w:p>
    <w:p w14:paraId="1704215D">
      <w:pPr>
        <w:widowControl w:val="0"/>
        <w:jc w:val="both"/>
        <w:rPr>
          <w:rFonts w:ascii="Calibri" w:hAnsi="Calibri" w:eastAsia="宋体" w:cs="Times New Roman"/>
          <w:kern w:val="2"/>
          <w:sz w:val="21"/>
          <w:szCs w:val="22"/>
          <w:highlight w:val="none"/>
          <w:lang w:val="en-US" w:eastAsia="zh-CN" w:bidi="ar-SA"/>
        </w:rPr>
      </w:pPr>
    </w:p>
    <w:p w14:paraId="1480AB34">
      <w:pPr>
        <w:widowControl w:val="0"/>
        <w:jc w:val="both"/>
        <w:rPr>
          <w:rFonts w:ascii="Calibri" w:hAnsi="Calibri" w:eastAsia="宋体" w:cs="Times New Roman"/>
          <w:kern w:val="2"/>
          <w:sz w:val="21"/>
          <w:szCs w:val="22"/>
          <w:highlight w:val="none"/>
          <w:lang w:val="en-US" w:eastAsia="zh-CN" w:bidi="ar-SA"/>
        </w:rPr>
      </w:pPr>
    </w:p>
    <w:p w14:paraId="2734A922">
      <w:pPr>
        <w:widowControl w:val="0"/>
        <w:jc w:val="both"/>
        <w:rPr>
          <w:rFonts w:ascii="Calibri" w:hAnsi="Calibri" w:eastAsia="宋体" w:cs="Times New Roman"/>
          <w:kern w:val="2"/>
          <w:sz w:val="21"/>
          <w:szCs w:val="22"/>
          <w:highlight w:val="none"/>
          <w:lang w:val="en-US" w:eastAsia="zh-CN" w:bidi="ar-SA"/>
        </w:rPr>
      </w:pPr>
    </w:p>
    <w:p w14:paraId="2A493C85">
      <w:pPr>
        <w:widowControl w:val="0"/>
        <w:jc w:val="both"/>
        <w:rPr>
          <w:rFonts w:ascii="Calibri" w:hAnsi="Calibri" w:eastAsia="宋体" w:cs="Times New Roman"/>
          <w:kern w:val="2"/>
          <w:sz w:val="21"/>
          <w:szCs w:val="22"/>
          <w:highlight w:val="none"/>
          <w:lang w:val="en-US" w:eastAsia="zh-CN" w:bidi="ar-SA"/>
        </w:rPr>
      </w:pPr>
    </w:p>
    <w:p w14:paraId="56A37283">
      <w:pPr>
        <w:widowControl w:val="0"/>
        <w:jc w:val="both"/>
        <w:rPr>
          <w:rFonts w:ascii="Calibri" w:hAnsi="Calibri" w:eastAsia="宋体" w:cs="Times New Roman"/>
          <w:kern w:val="2"/>
          <w:sz w:val="21"/>
          <w:szCs w:val="22"/>
          <w:highlight w:val="none"/>
          <w:lang w:val="en-US" w:eastAsia="zh-CN" w:bidi="ar-SA"/>
        </w:rPr>
      </w:pPr>
    </w:p>
    <w:p w14:paraId="136E250C">
      <w:pPr>
        <w:spacing w:line="480" w:lineRule="exact"/>
        <w:rPr>
          <w:rFonts w:hint="eastAsia" w:ascii="宋体" w:hAnsi="宋体" w:eastAsia="宋体" w:cs="宋体"/>
          <w:b/>
          <w:bCs/>
          <w:sz w:val="24"/>
          <w:highlight w:val="none"/>
        </w:rPr>
      </w:pPr>
      <w:r>
        <w:rPr>
          <w:rFonts w:hint="eastAsia" w:ascii="宋体" w:hAnsi="宋体" w:eastAsia="宋体" w:cs="宋体"/>
          <w:b/>
          <w:bCs/>
          <w:sz w:val="24"/>
          <w:highlight w:val="none"/>
        </w:rPr>
        <w:t>附件3—售后服务方案（参考模板）</w:t>
      </w:r>
    </w:p>
    <w:p w14:paraId="038FFACE">
      <w:pPr>
        <w:spacing w:line="480" w:lineRule="exact"/>
        <w:rPr>
          <w:rFonts w:hint="eastAsia" w:ascii="宋体" w:hAnsi="宋体" w:eastAsia="宋体" w:cs="宋体"/>
          <w:b/>
          <w:bCs/>
          <w:sz w:val="24"/>
          <w:highlight w:val="none"/>
        </w:rPr>
      </w:pPr>
      <w:bookmarkStart w:id="0" w:name="_Toc3972"/>
      <w:bookmarkStart w:id="1" w:name="_Toc24535"/>
      <w:bookmarkStart w:id="2" w:name="_Toc4751267"/>
      <w:bookmarkStart w:id="3" w:name="_Toc6840912"/>
      <w:bookmarkStart w:id="4" w:name="_Toc5819"/>
      <w:bookmarkStart w:id="5" w:name="_Toc13928"/>
      <w:bookmarkStart w:id="6" w:name="_Toc5281084"/>
      <w:bookmarkStart w:id="7" w:name="_Toc12169"/>
      <w:r>
        <w:rPr>
          <w:rFonts w:hint="eastAsia" w:ascii="宋体" w:hAnsi="宋体" w:eastAsia="宋体" w:cs="宋体"/>
          <w:b/>
          <w:bCs/>
          <w:sz w:val="24"/>
          <w:highlight w:val="none"/>
        </w:rPr>
        <w:t>一、产品售后服务承诺及有关说明</w:t>
      </w:r>
      <w:bookmarkEnd w:id="0"/>
      <w:bookmarkEnd w:id="1"/>
      <w:bookmarkEnd w:id="2"/>
      <w:bookmarkEnd w:id="3"/>
      <w:bookmarkEnd w:id="4"/>
      <w:bookmarkEnd w:id="5"/>
      <w:bookmarkEnd w:id="6"/>
      <w:bookmarkEnd w:id="7"/>
    </w:p>
    <w:p w14:paraId="4595623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1、对产品售后服务在规定质保期内属本公司制造、安装质量问题，公司负责无偿维修或退换。</w:t>
      </w:r>
    </w:p>
    <w:p w14:paraId="0EE5A65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2、保修期为终验合格后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w:t>
      </w:r>
    </w:p>
    <w:p w14:paraId="1B2BCA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14:paraId="7A0DEB7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4、由于顾客使用不当等原因造成的产品损坏，由公司当事销售人员与顾客签订维修合同，根据维修合同，技术维修组负责如期完成维修任务。</w:t>
      </w:r>
    </w:p>
    <w:p w14:paraId="030FD5A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5、除质保期内的售后服务外，本公司同时负责质保期后的设备维修工作，但其售后服务费用由需方承担。</w:t>
      </w:r>
    </w:p>
    <w:p w14:paraId="118541C4">
      <w:pPr>
        <w:spacing w:line="480" w:lineRule="exact"/>
        <w:rPr>
          <w:rFonts w:hint="eastAsia" w:ascii="宋体" w:hAnsi="宋体" w:eastAsia="宋体" w:cs="宋体"/>
          <w:b/>
          <w:bCs/>
          <w:sz w:val="24"/>
          <w:highlight w:val="none"/>
        </w:rPr>
      </w:pPr>
      <w:bookmarkStart w:id="8" w:name="_Toc217571392"/>
      <w:bookmarkStart w:id="9" w:name="_Toc15269"/>
      <w:bookmarkStart w:id="10" w:name="_Toc6840913"/>
      <w:bookmarkStart w:id="11" w:name="_Toc219621656"/>
      <w:bookmarkStart w:id="12" w:name="_Toc4751268"/>
      <w:bookmarkStart w:id="13" w:name="_Toc6940"/>
      <w:bookmarkStart w:id="14" w:name="_Toc277248385"/>
      <w:bookmarkStart w:id="15" w:name="_Toc22073"/>
      <w:bookmarkStart w:id="16" w:name="_Toc22846"/>
      <w:bookmarkStart w:id="17" w:name="_Toc357397591"/>
      <w:bookmarkStart w:id="18" w:name="_Toc444423909"/>
      <w:bookmarkStart w:id="19" w:name="_Toc415087029"/>
      <w:bookmarkStart w:id="20" w:name="_Toc6322"/>
      <w:bookmarkStart w:id="21" w:name="_Toc245883665"/>
      <w:bookmarkStart w:id="22" w:name="_Toc370999357"/>
      <w:bookmarkStart w:id="23" w:name="_Toc4747813"/>
      <w:bookmarkStart w:id="24" w:name="_Toc366082471"/>
      <w:bookmarkStart w:id="25" w:name="_Toc387660032"/>
      <w:r>
        <w:rPr>
          <w:rFonts w:hint="eastAsia" w:ascii="宋体" w:hAnsi="宋体" w:eastAsia="宋体" w:cs="宋体"/>
          <w:b/>
          <w:bCs/>
          <w:sz w:val="24"/>
          <w:highlight w:val="none"/>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038AF9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投标设备最终验收前，我公司向招标人提供下列现场技术服务：</w:t>
      </w:r>
    </w:p>
    <w:p w14:paraId="59B5AF04">
      <w:pPr>
        <w:spacing w:line="480" w:lineRule="exact"/>
        <w:rPr>
          <w:rFonts w:hint="eastAsia" w:ascii="宋体" w:hAnsi="宋体" w:eastAsia="宋体" w:cs="宋体"/>
          <w:b/>
          <w:bCs/>
          <w:sz w:val="24"/>
          <w:highlight w:val="none"/>
        </w:rPr>
      </w:pPr>
      <w:bookmarkStart w:id="26" w:name="_Toc217571393"/>
      <w:bookmarkStart w:id="27" w:name="_Toc219621657"/>
      <w:bookmarkStart w:id="28" w:name="_Toc243980082"/>
      <w:r>
        <w:rPr>
          <w:rFonts w:hint="eastAsia" w:ascii="宋体" w:hAnsi="宋体" w:eastAsia="宋体" w:cs="宋体"/>
          <w:b/>
          <w:bCs/>
          <w:sz w:val="24"/>
          <w:highlight w:val="none"/>
        </w:rPr>
        <w:t>安装督导</w:t>
      </w:r>
      <w:bookmarkEnd w:id="26"/>
      <w:bookmarkEnd w:id="27"/>
      <w:bookmarkEnd w:id="28"/>
    </w:p>
    <w:p w14:paraId="2A0800E6">
      <w:pPr>
        <w:spacing w:line="480" w:lineRule="exact"/>
        <w:ind w:firstLine="480" w:firstLineChars="200"/>
        <w:rPr>
          <w:rFonts w:hint="eastAsia" w:ascii="宋体" w:hAnsi="宋体" w:eastAsia="宋体" w:cs="宋体"/>
          <w:sz w:val="24"/>
          <w:highlight w:val="none"/>
        </w:rPr>
      </w:pPr>
      <w:bookmarkStart w:id="29" w:name="_Toc219621658"/>
      <w:r>
        <w:rPr>
          <w:rFonts w:hint="eastAsia" w:ascii="宋体" w:hAnsi="宋体" w:eastAsia="宋体" w:cs="宋体"/>
          <w:sz w:val="24"/>
          <w:highlight w:val="none"/>
        </w:rPr>
        <w:t>设备安装的准备工作</w:t>
      </w:r>
      <w:bookmarkEnd w:id="29"/>
    </w:p>
    <w:p w14:paraId="1017463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我公司负责提供相应的设备安装文件。我公司负责设备的安装督导，安装前应保证人员到位，并具备督导必须的条件。</w:t>
      </w:r>
    </w:p>
    <w:p w14:paraId="67EE14A1">
      <w:pPr>
        <w:spacing w:line="480" w:lineRule="exact"/>
        <w:ind w:firstLine="480" w:firstLineChars="200"/>
        <w:rPr>
          <w:rFonts w:hint="eastAsia" w:ascii="宋体" w:hAnsi="宋体" w:eastAsia="宋体" w:cs="宋体"/>
          <w:sz w:val="24"/>
          <w:highlight w:val="none"/>
        </w:rPr>
      </w:pPr>
      <w:bookmarkStart w:id="30" w:name="_Toc219621659"/>
      <w:r>
        <w:rPr>
          <w:rFonts w:hint="eastAsia" w:ascii="宋体" w:hAnsi="宋体" w:eastAsia="宋体" w:cs="宋体"/>
          <w:sz w:val="24"/>
          <w:highlight w:val="none"/>
        </w:rPr>
        <w:t>安装和开通期间</w:t>
      </w:r>
      <w:bookmarkEnd w:id="30"/>
    </w:p>
    <w:p w14:paraId="339A647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我公司会按照已获招标人确认的工程所有工作的实施方法和措施，在合同规定的竣工日期前完成工程的施工安装督导、调试和验收。</w:t>
      </w:r>
    </w:p>
    <w:p w14:paraId="450D0C5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我公司派遣足够的、具有适当资质和经验的人员到现场完成施工安装督导、调试和验收的工作。</w:t>
      </w:r>
    </w:p>
    <w:p w14:paraId="20A00B2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14:paraId="36D98A73">
      <w:pPr>
        <w:spacing w:line="480" w:lineRule="exact"/>
        <w:ind w:firstLine="480" w:firstLineChars="200"/>
        <w:rPr>
          <w:rFonts w:hint="eastAsia" w:ascii="宋体" w:hAnsi="宋体" w:eastAsia="宋体" w:cs="宋体"/>
          <w:sz w:val="24"/>
          <w:highlight w:val="none"/>
        </w:rPr>
      </w:pPr>
      <w:bookmarkStart w:id="31" w:name="_Toc219621660"/>
      <w:r>
        <w:rPr>
          <w:rFonts w:hint="eastAsia" w:ascii="宋体" w:hAnsi="宋体" w:eastAsia="宋体" w:cs="宋体"/>
          <w:sz w:val="24"/>
          <w:highlight w:val="none"/>
        </w:rPr>
        <w:t>人员</w:t>
      </w:r>
      <w:bookmarkEnd w:id="31"/>
    </w:p>
    <w:p w14:paraId="52A1341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执行安装督导的项目经理具有项目管理经验，具有较强的沟通协调与现场工程管理能力，确保工程实施的进度与质量。</w:t>
      </w:r>
    </w:p>
    <w:p w14:paraId="0D586027">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执行安装督导技术人员是受过我公司专业培训的工程师，负责项目建设中所分派的由其执行的安装、指导和测试工作，并且和招标人一起参与开通程序，并根据进度表，达到工程要求和质量标准。</w:t>
      </w:r>
    </w:p>
    <w:p w14:paraId="126D6D12">
      <w:pPr>
        <w:spacing w:line="480" w:lineRule="exact"/>
        <w:ind w:firstLine="480" w:firstLineChars="200"/>
        <w:rPr>
          <w:rFonts w:hint="eastAsia" w:ascii="宋体" w:hAnsi="宋体" w:eastAsia="宋体" w:cs="宋体"/>
          <w:sz w:val="24"/>
          <w:highlight w:val="none"/>
        </w:rPr>
      </w:pPr>
      <w:bookmarkStart w:id="32" w:name="_Toc219621661"/>
      <w:r>
        <w:rPr>
          <w:rFonts w:hint="eastAsia" w:ascii="宋体" w:hAnsi="宋体" w:eastAsia="宋体" w:cs="宋体"/>
          <w:sz w:val="24"/>
          <w:highlight w:val="none"/>
        </w:rPr>
        <w:t>施工安装督导工作描述</w:t>
      </w:r>
      <w:bookmarkEnd w:id="32"/>
    </w:p>
    <w:p w14:paraId="0AFE082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（1）根据进度表确保所提供系统的安装工作并保证达到质量标准，遵守相关的安装指导原则及经济原则，并对现场的安装人员进行安全指导；</w:t>
      </w:r>
    </w:p>
    <w:p w14:paraId="4E8BBE5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（2）根据工程进度完成测试和开通工作，达到工程和质量要求；</w:t>
      </w:r>
    </w:p>
    <w:p w14:paraId="621231A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（3）协调与内部的特定部门，外部的公司，业主或业主委托的公司的关系；</w:t>
      </w:r>
    </w:p>
    <w:p w14:paraId="6F088F6A">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（4）指出工程的障碍；</w:t>
      </w:r>
    </w:p>
    <w:p w14:paraId="3672BFF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（5）与招标人共同参与有关问题的会议/讨论，澄清；</w:t>
      </w:r>
    </w:p>
    <w:p w14:paraId="6B3BDE5E">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（6）根据时间进度表，协调安装工作；</w:t>
      </w:r>
    </w:p>
    <w:p w14:paraId="72CEA25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（7）参与技术问题的澄清；</w:t>
      </w:r>
    </w:p>
    <w:p w14:paraId="7C37273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（8）负责相关的测试和验收工作；</w:t>
      </w:r>
    </w:p>
    <w:p w14:paraId="6AE9598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（9）工作文件的保存；</w:t>
      </w:r>
    </w:p>
    <w:p w14:paraId="151D62F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（10）遵守法律规章和内部指导原则；</w:t>
      </w:r>
    </w:p>
    <w:p w14:paraId="2369A6F9">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（11）工程现场设备安装指导、安装检查；</w:t>
      </w:r>
    </w:p>
    <w:p w14:paraId="273755C2">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（12）设备单机加电调试</w:t>
      </w:r>
    </w:p>
    <w:p w14:paraId="10E1A8E7">
      <w:pPr>
        <w:spacing w:line="480" w:lineRule="exact"/>
        <w:ind w:firstLine="482" w:firstLineChars="200"/>
        <w:rPr>
          <w:rFonts w:hint="eastAsia" w:ascii="宋体" w:hAnsi="宋体" w:eastAsia="宋体" w:cs="宋体"/>
          <w:b/>
          <w:bCs/>
          <w:sz w:val="24"/>
          <w:highlight w:val="none"/>
        </w:rPr>
      </w:pPr>
      <w:bookmarkStart w:id="33" w:name="_Toc243980083"/>
      <w:bookmarkStart w:id="34" w:name="_Toc217571394"/>
      <w:bookmarkStart w:id="35" w:name="_Toc219621663"/>
      <w:r>
        <w:rPr>
          <w:rFonts w:hint="eastAsia" w:ascii="宋体" w:hAnsi="宋体" w:eastAsia="宋体" w:cs="宋体"/>
          <w:b/>
          <w:bCs/>
          <w:sz w:val="24"/>
          <w:highlight w:val="none"/>
        </w:rPr>
        <w:t>系统调试</w:t>
      </w:r>
      <w:bookmarkEnd w:id="33"/>
      <w:bookmarkEnd w:id="34"/>
      <w:bookmarkEnd w:id="35"/>
    </w:p>
    <w:p w14:paraId="3C196CF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我公司向招标人提出所供系统调试开通方案、调试仪表和工具清单，经招标人进行确认后实施，配合招标人的自验收工作，并对执行系统验收测试提供技术支持。</w:t>
      </w:r>
    </w:p>
    <w:p w14:paraId="3675879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我公司所供系统调试开通并经招标人确认后，我公司向招标人提供所共系统调试开通文件,包括：</w:t>
      </w:r>
    </w:p>
    <w:p w14:paraId="55E043A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（1）供货设备清单；</w:t>
      </w:r>
    </w:p>
    <w:p w14:paraId="178FA77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（2）设备缺陷处理记录；</w:t>
      </w:r>
    </w:p>
    <w:p w14:paraId="7D19807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（3）系统的测试记录及分析报告；</w:t>
      </w:r>
    </w:p>
    <w:p w14:paraId="56621A17">
      <w:pPr>
        <w:spacing w:line="480" w:lineRule="exact"/>
        <w:ind w:firstLine="482" w:firstLineChars="200"/>
        <w:rPr>
          <w:rFonts w:hint="eastAsia" w:ascii="宋体" w:hAnsi="宋体" w:eastAsia="宋体" w:cs="宋体"/>
          <w:b/>
          <w:bCs/>
          <w:sz w:val="24"/>
          <w:highlight w:val="none"/>
        </w:rPr>
      </w:pPr>
      <w:bookmarkStart w:id="36" w:name="_Toc219621667"/>
      <w:bookmarkStart w:id="37" w:name="_Toc217571395"/>
      <w:bookmarkStart w:id="38" w:name="_Toc243980084"/>
      <w:r>
        <w:rPr>
          <w:rFonts w:hint="eastAsia" w:ascii="宋体" w:hAnsi="宋体" w:eastAsia="宋体" w:cs="宋体"/>
          <w:b/>
          <w:bCs/>
          <w:sz w:val="24"/>
          <w:highlight w:val="none"/>
        </w:rPr>
        <w:t>故障处理</w:t>
      </w:r>
      <w:bookmarkEnd w:id="36"/>
      <w:bookmarkEnd w:id="37"/>
      <w:bookmarkEnd w:id="38"/>
    </w:p>
    <w:p w14:paraId="0C8FBB8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在设备最终验收前，我公司免费提供任何由于系统设计、设备制造、安装等缺陷引起的更换设备及所需工具。</w:t>
      </w:r>
    </w:p>
    <w:p w14:paraId="0118DA7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14:paraId="3182E812">
      <w:pPr>
        <w:spacing w:line="480" w:lineRule="exact"/>
        <w:ind w:firstLine="482" w:firstLineChars="200"/>
        <w:rPr>
          <w:rFonts w:hint="eastAsia" w:ascii="宋体" w:hAnsi="宋体" w:eastAsia="宋体" w:cs="宋体"/>
          <w:b/>
          <w:bCs/>
          <w:sz w:val="24"/>
          <w:highlight w:val="none"/>
        </w:rPr>
      </w:pPr>
      <w:bookmarkStart w:id="39" w:name="_Toc180248773"/>
      <w:bookmarkStart w:id="40" w:name="_Toc243980085"/>
      <w:bookmarkStart w:id="41" w:name="_Toc217571396"/>
      <w:bookmarkStart w:id="42" w:name="_Toc219621668"/>
      <w:r>
        <w:rPr>
          <w:rFonts w:hint="eastAsia" w:ascii="宋体" w:hAnsi="宋体" w:eastAsia="宋体" w:cs="宋体"/>
          <w:b/>
          <w:bCs/>
          <w:sz w:val="24"/>
          <w:highlight w:val="none"/>
        </w:rPr>
        <w:t>现场巡检服务</w:t>
      </w:r>
      <w:bookmarkEnd w:id="39"/>
      <w:bookmarkEnd w:id="40"/>
      <w:bookmarkEnd w:id="41"/>
      <w:bookmarkEnd w:id="42"/>
    </w:p>
    <w:p w14:paraId="060DBB4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我公司针对设备运行情况进行定期或不定期的巡回检查（包括电话回访与现场回访），了解招标人设备的运行情况，及时处理存在的问题，并进行有关技术指导。</w:t>
      </w:r>
    </w:p>
    <w:p w14:paraId="57D675BC">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14:paraId="596F94CF">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产品在招标人现场使用3个月后将再次进行电话回访，了解设备的使用状况，同时售后服务人员将重新说明设备的特点，及相关注意事项。</w:t>
      </w:r>
    </w:p>
    <w:p w14:paraId="28ACB3C0">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每年定期进行招标人现场回访。彻底检查设备关键部位，及时发现设备运行隐患，为招标人免费升级软件，并将新功能告知招标人。</w:t>
      </w:r>
    </w:p>
    <w:p w14:paraId="04788B7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我公司为招标人对系统的巡检提供7*24小时专家电话支持。</w:t>
      </w:r>
    </w:p>
    <w:p w14:paraId="1F8B2F58">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资料服务</w:t>
      </w:r>
    </w:p>
    <w:p w14:paraId="39A4180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14:paraId="673A0B25">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故障件维修服务</w:t>
      </w:r>
    </w:p>
    <w:p w14:paraId="38CA856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我方对用户在使用过程中出现的故障板件进行修复以保证设备持续可用的服务。</w:t>
      </w:r>
    </w:p>
    <w:p w14:paraId="4C6C76AA">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备件同步升级服务</w:t>
      </w:r>
    </w:p>
    <w:p w14:paraId="78114513">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网络设备升级后，投标方应提供备件的同步升级服务，使备件与在用系统设备相一致。</w:t>
      </w:r>
    </w:p>
    <w:p w14:paraId="4993EAA1">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设备巡检及健康检查服务</w:t>
      </w:r>
    </w:p>
    <w:p w14:paraId="4A9CFEBA">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每年一次对系统设备进行巡检服务，并提出健康检查项目，经用户认可后执行健康检查，检查结束提交健康检查报告。</w:t>
      </w:r>
    </w:p>
    <w:p w14:paraId="03E4F00E">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第三方设备技术支持服务</w:t>
      </w:r>
    </w:p>
    <w:p w14:paraId="00D9EB55">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我方统一受理系统中的第三方设备的技术支持，包括第三方设备的技术咨询、故障处理、备件升级等。</w:t>
      </w:r>
    </w:p>
    <w:p w14:paraId="4325CFBB">
      <w:pPr>
        <w:spacing w:line="480" w:lineRule="exact"/>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质保期内（</w:t>
      </w:r>
      <w:r>
        <w:rPr>
          <w:rFonts w:hint="eastAsia" w:ascii="宋体" w:hAnsi="宋体" w:eastAsia="宋体" w:cs="宋体"/>
          <w:b/>
          <w:bCs/>
          <w:sz w:val="24"/>
          <w:highlight w:val="none"/>
          <w:u w:val="single"/>
        </w:rPr>
        <w:t xml:space="preserve">     </w:t>
      </w:r>
      <w:r>
        <w:rPr>
          <w:rFonts w:hint="eastAsia" w:ascii="宋体" w:hAnsi="宋体" w:eastAsia="宋体" w:cs="宋体"/>
          <w:b/>
          <w:bCs/>
          <w:sz w:val="24"/>
          <w:highlight w:val="none"/>
        </w:rPr>
        <w:t>个月）技术支持服务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14:paraId="1BDF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1C9F07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一、缺陷通知期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个月内技术服务</w:t>
            </w:r>
          </w:p>
        </w:tc>
      </w:tr>
      <w:tr w14:paraId="723A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6E1FBD9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服务项目内容及服务地点</w:t>
            </w:r>
          </w:p>
        </w:tc>
        <w:tc>
          <w:tcPr>
            <w:tcW w:w="1490" w:type="dxa"/>
            <w:vAlign w:val="center"/>
          </w:tcPr>
          <w:p w14:paraId="52B9B31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响应时间</w:t>
            </w:r>
          </w:p>
        </w:tc>
        <w:tc>
          <w:tcPr>
            <w:tcW w:w="1961" w:type="dxa"/>
            <w:vAlign w:val="center"/>
          </w:tcPr>
          <w:p w14:paraId="3918FDE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人员数量</w:t>
            </w:r>
          </w:p>
        </w:tc>
        <w:tc>
          <w:tcPr>
            <w:tcW w:w="2804" w:type="dxa"/>
            <w:vAlign w:val="center"/>
          </w:tcPr>
          <w:p w14:paraId="0ED0903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人员资质</w:t>
            </w:r>
          </w:p>
        </w:tc>
      </w:tr>
      <w:tr w14:paraId="19B0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37ED997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远程-电话支持</w:t>
            </w:r>
          </w:p>
        </w:tc>
        <w:tc>
          <w:tcPr>
            <w:tcW w:w="1490" w:type="dxa"/>
            <w:vAlign w:val="center"/>
          </w:tcPr>
          <w:p w14:paraId="3125CB3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1小时内</w:t>
            </w:r>
          </w:p>
        </w:tc>
        <w:tc>
          <w:tcPr>
            <w:tcW w:w="1961" w:type="dxa"/>
            <w:vAlign w:val="center"/>
          </w:tcPr>
          <w:p w14:paraId="11F2CEE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2AF87BC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工程师</w:t>
            </w:r>
          </w:p>
        </w:tc>
      </w:tr>
      <w:tr w14:paraId="4ECF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2ED1CD1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现场-更换故障设备</w:t>
            </w:r>
          </w:p>
        </w:tc>
        <w:tc>
          <w:tcPr>
            <w:tcW w:w="1490" w:type="dxa"/>
            <w:vAlign w:val="center"/>
          </w:tcPr>
          <w:p w14:paraId="41B4ACE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3～6小时</w:t>
            </w:r>
          </w:p>
        </w:tc>
        <w:tc>
          <w:tcPr>
            <w:tcW w:w="1961" w:type="dxa"/>
            <w:vAlign w:val="center"/>
          </w:tcPr>
          <w:p w14:paraId="4B5964A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3F76E22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highlight w:val="none"/>
              </w:rPr>
            </w:pPr>
            <w:r>
              <w:rPr>
                <w:rFonts w:hint="eastAsia" w:ascii="宋体" w:hAnsi="宋体" w:eastAsia="宋体" w:cs="宋体"/>
                <w:sz w:val="24"/>
                <w:highlight w:val="none"/>
              </w:rPr>
              <w:t>工程师</w:t>
            </w:r>
          </w:p>
        </w:tc>
      </w:tr>
      <w:tr w14:paraId="24D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7AE62B1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现场-判断并处理故障</w:t>
            </w:r>
          </w:p>
        </w:tc>
        <w:tc>
          <w:tcPr>
            <w:tcW w:w="1490" w:type="dxa"/>
            <w:vAlign w:val="center"/>
          </w:tcPr>
          <w:p w14:paraId="6B10834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3～12小时</w:t>
            </w:r>
          </w:p>
        </w:tc>
        <w:tc>
          <w:tcPr>
            <w:tcW w:w="1961" w:type="dxa"/>
            <w:vAlign w:val="center"/>
          </w:tcPr>
          <w:p w14:paraId="7389E86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2804" w:type="dxa"/>
            <w:vAlign w:val="center"/>
          </w:tcPr>
          <w:p w14:paraId="0CA4AF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工程师</w:t>
            </w:r>
          </w:p>
        </w:tc>
      </w:tr>
      <w:tr w14:paraId="4C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2035D98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二、与维护单位间详细的工作界面及责任划分</w:t>
            </w:r>
          </w:p>
        </w:tc>
      </w:tr>
      <w:tr w14:paraId="5A64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vAlign w:val="center"/>
          </w:tcPr>
          <w:p w14:paraId="6952C42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（1）远程支持服务</w:t>
            </w:r>
          </w:p>
          <w:p w14:paraId="273BFAD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远程支持服务是指向用户提供关于设备设备日常操作维护的咨询和非紧急情况下的故障处理。服务热线提供7×24小时服务。远程支持服务内容为：</w:t>
            </w:r>
          </w:p>
          <w:p w14:paraId="4312C872">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一般系统咨询；</w:t>
            </w:r>
          </w:p>
          <w:p w14:paraId="42A09C0C">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产品咨询；</w:t>
            </w:r>
          </w:p>
          <w:p w14:paraId="268F6203">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硬件咨询；</w:t>
            </w:r>
          </w:p>
          <w:p w14:paraId="65AFC4E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软件咨询；</w:t>
            </w:r>
          </w:p>
          <w:p w14:paraId="232204D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数据咨询；</w:t>
            </w:r>
          </w:p>
          <w:p w14:paraId="6B20C96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获取资料。</w:t>
            </w:r>
          </w:p>
          <w:p w14:paraId="63DA723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（2）现场支持服务</w:t>
            </w:r>
          </w:p>
          <w:p w14:paraId="4E5BA7A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现场支持是指用户通过电话或传真等方式寻求技术支持和帮助，在经过双方商议确定需要进行现场支持的情况下，经验丰富的工程师将赴现场提供现场支持服务。</w:t>
            </w:r>
          </w:p>
          <w:p w14:paraId="2D3A9F8F">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现场处理用户故障，通过部件的维修或更换等措施将系统在最短时间内修复。</w:t>
            </w:r>
          </w:p>
          <w:p w14:paraId="3D080325">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highlight w:val="none"/>
                <w:lang w:val="en-US" w:eastAsia="zh-CN" w:bidi="ar-SA"/>
              </w:rPr>
            </w:pPr>
            <w:r>
              <w:rPr>
                <w:rFonts w:hint="eastAsia" w:ascii="宋体" w:hAnsi="宋体" w:eastAsia="宋体" w:cs="宋体"/>
                <w:spacing w:val="0"/>
                <w:w w:val="100"/>
                <w:sz w:val="24"/>
                <w:szCs w:val="24"/>
                <w:highlight w:val="none"/>
                <w:lang w:val="en-US" w:eastAsia="zh-CN" w:bidi="ar-SA"/>
              </w:rPr>
              <w:t>根据不同故障级别，现场支持服务要求如下：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14:paraId="7A8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vAlign w:val="center"/>
                </w:tcPr>
                <w:p w14:paraId="776D863E">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级别</w:t>
                  </w:r>
                </w:p>
              </w:tc>
              <w:tc>
                <w:tcPr>
                  <w:tcW w:w="3045" w:type="dxa"/>
                  <w:vAlign w:val="center"/>
                </w:tcPr>
                <w:p w14:paraId="3FC3F6A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具体现象</w:t>
                  </w:r>
                </w:p>
              </w:tc>
              <w:tc>
                <w:tcPr>
                  <w:tcW w:w="1575" w:type="dxa"/>
                  <w:vAlign w:val="center"/>
                </w:tcPr>
                <w:p w14:paraId="5BD94CF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到达现场时间</w:t>
                  </w:r>
                </w:p>
              </w:tc>
              <w:tc>
                <w:tcPr>
                  <w:tcW w:w="3487" w:type="dxa"/>
                  <w:vAlign w:val="center"/>
                </w:tcPr>
                <w:p w14:paraId="3A6973D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解决方案</w:t>
                  </w:r>
                </w:p>
              </w:tc>
            </w:tr>
            <w:tr w14:paraId="01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vAlign w:val="center"/>
                </w:tcPr>
                <w:p w14:paraId="3659F66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一级故障</w:t>
                  </w:r>
                </w:p>
              </w:tc>
              <w:tc>
                <w:tcPr>
                  <w:tcW w:w="3045" w:type="dxa"/>
                  <w:vAlign w:val="center"/>
                </w:tcPr>
                <w:p w14:paraId="344F573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整个系统处于完全瘫痪状态，不能运行</w:t>
                  </w:r>
                </w:p>
              </w:tc>
              <w:tc>
                <w:tcPr>
                  <w:tcW w:w="1575" w:type="dxa"/>
                  <w:vAlign w:val="center"/>
                </w:tcPr>
                <w:p w14:paraId="62D0B0FD">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3-6小时</w:t>
                  </w:r>
                </w:p>
              </w:tc>
              <w:tc>
                <w:tcPr>
                  <w:tcW w:w="3487" w:type="dxa"/>
                  <w:vAlign w:val="center"/>
                </w:tcPr>
                <w:p w14:paraId="7B22D0F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我方迅速及时到达故障现场处理故障。如果不能够定位故障原因，将协调派出资深的专家组奔赴现场。</w:t>
                  </w:r>
                </w:p>
              </w:tc>
            </w:tr>
            <w:tr w14:paraId="7556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vAlign w:val="center"/>
                </w:tcPr>
                <w:p w14:paraId="7E4DBFFB">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二级故障</w:t>
                  </w:r>
                </w:p>
              </w:tc>
              <w:tc>
                <w:tcPr>
                  <w:tcW w:w="3045" w:type="dxa"/>
                  <w:vAlign w:val="center"/>
                </w:tcPr>
                <w:p w14:paraId="07CAED6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系统性能严重下降：包括网络性能明显下降、设备出现故障或软件系统出现非瘫痪性错误等，客户业务运作受到严重影响。</w:t>
                  </w:r>
                </w:p>
              </w:tc>
              <w:tc>
                <w:tcPr>
                  <w:tcW w:w="1575" w:type="dxa"/>
                  <w:vAlign w:val="center"/>
                </w:tcPr>
                <w:p w14:paraId="0F037F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8</w:t>
                  </w:r>
                  <w:r>
                    <w:rPr>
                      <w:rFonts w:hint="eastAsia" w:ascii="宋体" w:hAnsi="宋体" w:eastAsia="宋体" w:cs="宋体"/>
                      <w:sz w:val="24"/>
                      <w:highlight w:val="none"/>
                      <w:lang w:val="fr-FR"/>
                    </w:rPr>
                    <w:t>小时</w:t>
                  </w:r>
                </w:p>
              </w:tc>
              <w:tc>
                <w:tcPr>
                  <w:tcW w:w="3487" w:type="dxa"/>
                  <w:vAlign w:val="center"/>
                </w:tcPr>
                <w:p w14:paraId="143CA3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我方迅速到达故障现场处理故障，并提供全面的设备运行报告和故障现象。</w:t>
                  </w:r>
                </w:p>
              </w:tc>
            </w:tr>
            <w:tr w14:paraId="7E1F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vAlign w:val="center"/>
                </w:tcPr>
                <w:p w14:paraId="1AF31A9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三级故障</w:t>
                  </w:r>
                </w:p>
              </w:tc>
              <w:tc>
                <w:tcPr>
                  <w:tcW w:w="3045" w:type="dxa"/>
                  <w:vAlign w:val="center"/>
                </w:tcPr>
                <w:p w14:paraId="7B51032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系统部分设备或者软件出现故障，但整个系统仍可正常运行，客户业务运作受到一定影响。</w:t>
                  </w:r>
                </w:p>
              </w:tc>
              <w:tc>
                <w:tcPr>
                  <w:tcW w:w="1575" w:type="dxa"/>
                  <w:vAlign w:val="center"/>
                </w:tcPr>
                <w:p w14:paraId="6DF1D9C2">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12</w:t>
                  </w:r>
                  <w:r>
                    <w:rPr>
                      <w:rFonts w:hint="eastAsia" w:ascii="宋体" w:hAnsi="宋体" w:eastAsia="宋体" w:cs="宋体"/>
                      <w:sz w:val="24"/>
                      <w:highlight w:val="none"/>
                      <w:lang w:val="fr-FR"/>
                    </w:rPr>
                    <w:t>小时</w:t>
                  </w:r>
                </w:p>
              </w:tc>
              <w:tc>
                <w:tcPr>
                  <w:tcW w:w="3487" w:type="dxa"/>
                  <w:vAlign w:val="center"/>
                </w:tcPr>
                <w:p w14:paraId="723BE07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2FD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vAlign w:val="center"/>
                </w:tcPr>
                <w:p w14:paraId="275614E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lang w:val="fr-FR"/>
                    </w:rPr>
                    <w:t>四级故障</w:t>
                  </w:r>
                </w:p>
              </w:tc>
              <w:tc>
                <w:tcPr>
                  <w:tcW w:w="3045" w:type="dxa"/>
                  <w:vAlign w:val="center"/>
                </w:tcPr>
                <w:p w14:paraId="2C6DE85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需要硬件、软件产品功能、安装或配置方面的信息和支援，对客户的业务运作几乎没有影响或者根本没有影响</w:t>
                  </w:r>
                </w:p>
              </w:tc>
              <w:tc>
                <w:tcPr>
                  <w:tcW w:w="1575" w:type="dxa"/>
                  <w:vAlign w:val="center"/>
                </w:tcPr>
                <w:p w14:paraId="0F784C4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sz w:val="24"/>
                      <w:highlight w:val="none"/>
                    </w:rPr>
                    <w:t>24</w:t>
                  </w:r>
                  <w:r>
                    <w:rPr>
                      <w:rFonts w:hint="eastAsia" w:ascii="宋体" w:hAnsi="宋体" w:eastAsia="宋体" w:cs="宋体"/>
                      <w:sz w:val="24"/>
                      <w:highlight w:val="none"/>
                      <w:lang w:val="fr-FR"/>
                    </w:rPr>
                    <w:t>小时</w:t>
                  </w:r>
                </w:p>
              </w:tc>
              <w:tc>
                <w:tcPr>
                  <w:tcW w:w="3487" w:type="dxa"/>
                  <w:vAlign w:val="center"/>
                </w:tcPr>
                <w:p w14:paraId="1513B38A">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highlight w:val="none"/>
                      <w:lang w:val="fr-FR"/>
                    </w:rPr>
                  </w:pPr>
                  <w:r>
                    <w:rPr>
                      <w:rFonts w:hint="eastAsia" w:ascii="宋体" w:hAnsi="宋体" w:eastAsia="宋体" w:cs="宋体"/>
                      <w:bCs/>
                      <w:sz w:val="24"/>
                      <w:highlight w:val="none"/>
                    </w:rPr>
                    <w:t>我方工程师首先确定故障原因，协调找出损坏的设备部件并替换掉，使设备正常运行。此事件将被记录在案。</w:t>
                  </w:r>
                </w:p>
              </w:tc>
            </w:tr>
          </w:tbl>
          <w:p w14:paraId="0E93E27F">
            <w:pPr>
              <w:keepNext w:val="0"/>
              <w:keepLines w:val="0"/>
              <w:suppressLineNumbers w:val="0"/>
              <w:spacing w:before="0" w:beforeAutospacing="0" w:after="0" w:afterAutospacing="0" w:line="360" w:lineRule="auto"/>
              <w:ind w:left="0" w:right="0"/>
              <w:rPr>
                <w:rFonts w:hint="eastAsia" w:ascii="宋体" w:hAnsi="宋体" w:eastAsia="宋体" w:cs="宋体"/>
                <w:sz w:val="24"/>
                <w:highlight w:val="none"/>
              </w:rPr>
            </w:pPr>
          </w:p>
        </w:tc>
      </w:tr>
    </w:tbl>
    <w:p w14:paraId="67FC69DF">
      <w:pPr>
        <w:widowControl w:val="0"/>
        <w:tabs>
          <w:tab w:val="left" w:pos="567"/>
          <w:tab w:val="left" w:pos="980"/>
        </w:tabs>
        <w:spacing w:line="360" w:lineRule="auto"/>
        <w:ind w:left="-420" w:firstLine="241" w:firstLineChars="100"/>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大修周期内技术支持</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14:paraId="6AAAA1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vAlign w:val="center"/>
          </w:tcPr>
          <w:p w14:paraId="597679C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序号</w:t>
            </w:r>
          </w:p>
        </w:tc>
        <w:tc>
          <w:tcPr>
            <w:tcW w:w="3210" w:type="dxa"/>
            <w:vAlign w:val="center"/>
          </w:tcPr>
          <w:p w14:paraId="312BE65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服务项目</w:t>
            </w:r>
          </w:p>
        </w:tc>
        <w:tc>
          <w:tcPr>
            <w:tcW w:w="2229" w:type="dxa"/>
            <w:vAlign w:val="center"/>
          </w:tcPr>
          <w:p w14:paraId="7C2FB5B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服务标准</w:t>
            </w:r>
          </w:p>
        </w:tc>
        <w:tc>
          <w:tcPr>
            <w:tcW w:w="2709" w:type="dxa"/>
            <w:vAlign w:val="center"/>
          </w:tcPr>
          <w:p w14:paraId="4D5C580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备注</w:t>
            </w:r>
          </w:p>
        </w:tc>
      </w:tr>
      <w:tr w14:paraId="43EED8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vAlign w:val="center"/>
          </w:tcPr>
          <w:p w14:paraId="2EFC96C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1</w:t>
            </w:r>
          </w:p>
        </w:tc>
        <w:tc>
          <w:tcPr>
            <w:tcW w:w="3210" w:type="dxa"/>
            <w:vAlign w:val="center"/>
          </w:tcPr>
          <w:p w14:paraId="2B30C95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咨询和电话支持服务7×24小时</w:t>
            </w:r>
          </w:p>
        </w:tc>
        <w:tc>
          <w:tcPr>
            <w:tcW w:w="2229" w:type="dxa"/>
            <w:vAlign w:val="center"/>
          </w:tcPr>
          <w:p w14:paraId="09A8531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支持</w:t>
            </w:r>
          </w:p>
        </w:tc>
        <w:tc>
          <w:tcPr>
            <w:tcW w:w="2709" w:type="dxa"/>
            <w:vAlign w:val="center"/>
          </w:tcPr>
          <w:p w14:paraId="198950D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p>
        </w:tc>
      </w:tr>
      <w:tr w14:paraId="627D3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vAlign w:val="center"/>
          </w:tcPr>
          <w:p w14:paraId="3CEC71B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2</w:t>
            </w:r>
          </w:p>
        </w:tc>
        <w:tc>
          <w:tcPr>
            <w:tcW w:w="3210" w:type="dxa"/>
            <w:vAlign w:val="center"/>
          </w:tcPr>
          <w:p w14:paraId="55D3435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远程技术支持服务</w:t>
            </w:r>
          </w:p>
        </w:tc>
        <w:tc>
          <w:tcPr>
            <w:tcW w:w="2229" w:type="dxa"/>
            <w:vAlign w:val="center"/>
          </w:tcPr>
          <w:p w14:paraId="24CBFE0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支持</w:t>
            </w:r>
          </w:p>
        </w:tc>
        <w:tc>
          <w:tcPr>
            <w:tcW w:w="2709" w:type="dxa"/>
            <w:vAlign w:val="center"/>
          </w:tcPr>
          <w:p w14:paraId="40DC678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电话及网络技术支持</w:t>
            </w:r>
          </w:p>
        </w:tc>
      </w:tr>
    </w:tbl>
    <w:p w14:paraId="77CE210B">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43" w:name="_Toc25887"/>
      <w:bookmarkStart w:id="44" w:name="_Toc366082472"/>
      <w:bookmarkStart w:id="45" w:name="_Toc19954"/>
      <w:bookmarkStart w:id="46" w:name="_Toc387660033"/>
      <w:bookmarkStart w:id="47" w:name="_Toc18698"/>
      <w:bookmarkStart w:id="48" w:name="_Toc219621670"/>
      <w:bookmarkStart w:id="49" w:name="_Toc277248386"/>
      <w:bookmarkStart w:id="50" w:name="_Toc243980087"/>
      <w:bookmarkStart w:id="51" w:name="_Toc357397592"/>
      <w:bookmarkStart w:id="52" w:name="_Toc6840914"/>
      <w:bookmarkStart w:id="53" w:name="_Toc15660"/>
      <w:bookmarkStart w:id="54" w:name="_Toc415087030"/>
      <w:bookmarkStart w:id="55" w:name="_Toc4747814"/>
      <w:bookmarkStart w:id="56" w:name="_Toc31435"/>
      <w:bookmarkStart w:id="57" w:name="_Toc370999358"/>
      <w:bookmarkStart w:id="58" w:name="_Toc217571398"/>
      <w:bookmarkStart w:id="59" w:name="_Toc444423910"/>
      <w:bookmarkStart w:id="60" w:name="_Toc4751269"/>
      <w:r>
        <w:rPr>
          <w:rFonts w:hint="eastAsia" w:ascii="宋体" w:hAnsi="宋体" w:eastAsia="宋体" w:cs="宋体"/>
          <w:b/>
          <w:bCs/>
          <w:kern w:val="2"/>
          <w:sz w:val="24"/>
          <w:szCs w:val="24"/>
          <w:highlight w:val="none"/>
          <w:lang w:val="en-US" w:eastAsia="zh-CN" w:bidi="ar-SA"/>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D6A4D9">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远程支持服务是指向招标人提供关于设备日常操作维护的咨询和非紧急情况下的故障处理。</w:t>
      </w:r>
    </w:p>
    <w:p w14:paraId="7A7EEA6D">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对于招标人非故障类问题，我公司提供全天侯7×24小时的咨询接收服务和全天侯7×24小时的咨询受理服务。</w:t>
      </w:r>
    </w:p>
    <w:p w14:paraId="71F45061">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对于招标人故障类问题，我公司提供全天侯7×24小时电话技术指导服务，通过电话指导招标人排除设备故障。</w:t>
      </w:r>
    </w:p>
    <w:p w14:paraId="44BC91F3">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61" w:name="_Toc26679"/>
      <w:bookmarkStart w:id="62" w:name="_Toc4751270"/>
      <w:bookmarkStart w:id="63" w:name="_Toc5281085"/>
      <w:bookmarkStart w:id="64" w:name="_Toc1236"/>
      <w:bookmarkStart w:id="65" w:name="_Toc28329"/>
      <w:bookmarkStart w:id="66" w:name="_Toc18209"/>
      <w:bookmarkStart w:id="67" w:name="_Toc6840915"/>
      <w:bookmarkStart w:id="68" w:name="_Toc19143"/>
      <w:r>
        <w:rPr>
          <w:rFonts w:hint="eastAsia" w:ascii="宋体" w:hAnsi="宋体" w:eastAsia="宋体" w:cs="宋体"/>
          <w:b/>
          <w:bCs/>
          <w:kern w:val="2"/>
          <w:sz w:val="24"/>
          <w:szCs w:val="24"/>
          <w:highlight w:val="none"/>
          <w:lang w:val="en-US" w:eastAsia="zh-CN" w:bidi="ar-SA"/>
        </w:rPr>
        <w:t>四、售后服务的实施方案</w:t>
      </w:r>
      <w:bookmarkEnd w:id="61"/>
      <w:bookmarkEnd w:id="62"/>
      <w:bookmarkEnd w:id="63"/>
      <w:bookmarkEnd w:id="64"/>
      <w:bookmarkEnd w:id="65"/>
      <w:bookmarkEnd w:id="66"/>
      <w:bookmarkEnd w:id="67"/>
      <w:bookmarkEnd w:id="68"/>
    </w:p>
    <w:p w14:paraId="1137E2B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(1)、产品售后服务工作程序。</w:t>
      </w:r>
    </w:p>
    <w:p w14:paraId="2801F667">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(2)、本公司对产品出厂后进行的调试验收及运行过程的服务直至产品合格并经需方认可后所做的工作，即为产品的售后服务工作。</w:t>
      </w:r>
    </w:p>
    <w:p w14:paraId="6E56986B">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(3)、售后服务部根据客户的要求，详细询问所发生的质量问题及顾客要求填写《售后服务工作联络单》，必要时派技术维修人员到现场了解情况。</w:t>
      </w:r>
    </w:p>
    <w:p w14:paraId="0B223A4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(4)、售后服务部根据维修方案，并视其工作量的大小合理调派售后服务人员立即到达客户现场。</w:t>
      </w:r>
    </w:p>
    <w:p w14:paraId="3B21B358">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(5)、售后服务人员到达客户现场后，请需方技术人员对维修方案进行确认。如有异议，由生产技术部组织相关部门协调解决。</w:t>
      </w:r>
    </w:p>
    <w:p w14:paraId="16EA07BF">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14:paraId="2B37D685">
      <w:pPr>
        <w:tabs>
          <w:tab w:val="left" w:pos="567"/>
        </w:tabs>
        <w:spacing w:line="360" w:lineRule="auto"/>
        <w:rPr>
          <w:rFonts w:hint="eastAsia" w:ascii="宋体" w:hAnsi="宋体" w:eastAsia="宋体" w:cs="宋体"/>
          <w:b/>
          <w:bCs/>
          <w:sz w:val="24"/>
          <w:highlight w:val="none"/>
        </w:rPr>
      </w:pPr>
      <w:bookmarkStart w:id="69" w:name="_Toc6840916"/>
      <w:bookmarkStart w:id="70" w:name="_Toc25966"/>
      <w:bookmarkStart w:id="71" w:name="_Toc26892"/>
      <w:bookmarkStart w:id="72" w:name="_Toc5281086"/>
      <w:bookmarkStart w:id="73" w:name="_Toc28488"/>
      <w:bookmarkStart w:id="74" w:name="_Toc4751271"/>
      <w:bookmarkStart w:id="75" w:name="_Toc32555"/>
      <w:bookmarkStart w:id="76" w:name="_Toc26550"/>
      <w:r>
        <w:rPr>
          <w:rFonts w:hint="eastAsia" w:ascii="宋体" w:hAnsi="宋体" w:eastAsia="宋体" w:cs="宋体"/>
          <w:b/>
          <w:bCs/>
          <w:sz w:val="24"/>
          <w:highlight w:val="none"/>
        </w:rPr>
        <w:t>五、售后服务内容</w:t>
      </w:r>
      <w:bookmarkEnd w:id="69"/>
      <w:bookmarkEnd w:id="70"/>
      <w:bookmarkEnd w:id="71"/>
      <w:bookmarkEnd w:id="72"/>
      <w:bookmarkEnd w:id="73"/>
      <w:bookmarkEnd w:id="74"/>
      <w:bookmarkEnd w:id="75"/>
      <w:bookmarkEnd w:id="76"/>
    </w:p>
    <w:p w14:paraId="182D85A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(1)、包括产品的安装调试工作、设备运行操作和维护保养人员的指导培训工作、保修期内涉及产品质量问题或安装质量问题的维修工作。</w:t>
      </w:r>
    </w:p>
    <w:p w14:paraId="256C5F1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(2)重大项目服务规定</w:t>
      </w:r>
    </w:p>
    <w:p w14:paraId="4989850C">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(3)在用户单位就近设立售后服务联络点，配备具有一定资质、经验丰富的售后服务人员负责进行产品运行前的操作、维护、保养培训工作，并提供在保修期内的维修保养计划书。</w:t>
      </w:r>
    </w:p>
    <w:p w14:paraId="3BC1E8F6">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(4)对质保期内的产品进行定期免费保养，同时对产品运行情况进行认真的检查和记录。</w:t>
      </w:r>
    </w:p>
    <w:p w14:paraId="191309C6">
      <w:pPr>
        <w:tabs>
          <w:tab w:val="left" w:pos="567"/>
        </w:tabs>
        <w:spacing w:line="360" w:lineRule="auto"/>
        <w:rPr>
          <w:rFonts w:hint="eastAsia" w:ascii="宋体" w:hAnsi="宋体" w:eastAsia="宋体" w:cs="宋体"/>
          <w:b/>
          <w:bCs/>
          <w:sz w:val="24"/>
          <w:highlight w:val="none"/>
        </w:rPr>
      </w:pPr>
      <w:bookmarkStart w:id="77" w:name="_Toc13879"/>
      <w:bookmarkStart w:id="78" w:name="_Toc24731"/>
      <w:bookmarkStart w:id="79" w:name="_Toc19547"/>
      <w:bookmarkStart w:id="80" w:name="_Toc6840917"/>
      <w:bookmarkStart w:id="81" w:name="_Toc1750"/>
      <w:bookmarkStart w:id="82" w:name="_Toc5281087"/>
      <w:bookmarkStart w:id="83" w:name="_Toc4751272"/>
      <w:bookmarkStart w:id="84" w:name="_Toc16014"/>
      <w:r>
        <w:rPr>
          <w:rFonts w:hint="eastAsia" w:ascii="宋体" w:hAnsi="宋体" w:eastAsia="宋体" w:cs="宋体"/>
          <w:b/>
          <w:bCs/>
          <w:sz w:val="24"/>
          <w:highlight w:val="none"/>
        </w:rPr>
        <w:t>六、产品质量回访工作要求</w:t>
      </w:r>
      <w:bookmarkEnd w:id="77"/>
      <w:bookmarkEnd w:id="78"/>
      <w:bookmarkEnd w:id="79"/>
      <w:bookmarkEnd w:id="80"/>
      <w:bookmarkEnd w:id="81"/>
      <w:bookmarkEnd w:id="82"/>
      <w:bookmarkEnd w:id="83"/>
      <w:bookmarkEnd w:id="84"/>
    </w:p>
    <w:p w14:paraId="0A6AB3B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(1)售后服务部每年以信访形式了解产品运行情况及顾客的要求、意见和建议，并把有关信息反馈至公司相关职能部门。</w:t>
      </w:r>
    </w:p>
    <w:p w14:paraId="3A7C6112">
      <w:pPr>
        <w:tabs>
          <w:tab w:val="left" w:pos="567"/>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(2)对于重大工程项目及重点顾客，必要时由售后服务部派专人进行走访，对走访中获得的信息、意见及改进要求进行记录整理。</w:t>
      </w:r>
      <w:bookmarkStart w:id="85" w:name="_Toc29798"/>
      <w:bookmarkStart w:id="86" w:name="_Toc4751273"/>
      <w:bookmarkStart w:id="87" w:name="_Toc10721"/>
      <w:bookmarkStart w:id="88" w:name="_Toc6840918"/>
      <w:bookmarkStart w:id="89" w:name="_Toc5281088"/>
      <w:bookmarkStart w:id="90" w:name="_Toc24578"/>
      <w:bookmarkStart w:id="91" w:name="_Toc18029"/>
      <w:bookmarkStart w:id="92" w:name="_Toc8501"/>
    </w:p>
    <w:p w14:paraId="50A4CC3A">
      <w:pPr>
        <w:tabs>
          <w:tab w:val="left" w:pos="567"/>
        </w:tabs>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七、故障分类</w:t>
      </w:r>
      <w:bookmarkEnd w:id="85"/>
      <w:bookmarkEnd w:id="86"/>
      <w:bookmarkEnd w:id="87"/>
      <w:bookmarkEnd w:id="88"/>
      <w:bookmarkEnd w:id="89"/>
      <w:bookmarkEnd w:id="90"/>
      <w:bookmarkEnd w:id="91"/>
      <w:bookmarkEnd w:id="92"/>
    </w:p>
    <w:p w14:paraId="5D3B9AF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为保证系统可靠运行，达到故障影响最小化，我方根据信息电源系统的实际情况和长期积累的技术服务经验，将信息电源系统故障等级分为四级，具体如下：</w:t>
      </w:r>
    </w:p>
    <w:p w14:paraId="52B5FEE1">
      <w:pPr>
        <w:widowControl/>
        <w:jc w:val="center"/>
        <w:rPr>
          <w:rFonts w:hint="eastAsia" w:ascii="宋体" w:hAnsi="宋体" w:eastAsia="宋体" w:cs="宋体"/>
          <w:b/>
          <w:spacing w:val="10"/>
          <w:kern w:val="0"/>
          <w:sz w:val="24"/>
          <w:highlight w:val="none"/>
        </w:rPr>
      </w:pPr>
      <w:r>
        <w:rPr>
          <w:rFonts w:hint="eastAsia" w:ascii="宋体" w:hAnsi="宋体" w:eastAsia="宋体" w:cs="宋体"/>
          <w:sz w:val="24"/>
          <w:highlight w:val="none"/>
        </w:rPr>
        <w:br w:type="page"/>
      </w:r>
      <w:r>
        <w:rPr>
          <w:rFonts w:hint="eastAsia" w:ascii="宋体" w:hAnsi="宋体" w:eastAsia="宋体" w:cs="宋体"/>
          <w:b/>
          <w:spacing w:val="10"/>
          <w:kern w:val="0"/>
          <w:sz w:val="24"/>
          <w:highlight w:val="none"/>
        </w:rPr>
        <w:t>故障分级表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14:paraId="2F6D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vAlign w:val="center"/>
          </w:tcPr>
          <w:p w14:paraId="2AFFDA3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级别</w:t>
            </w:r>
          </w:p>
        </w:tc>
        <w:tc>
          <w:tcPr>
            <w:tcW w:w="3120" w:type="dxa"/>
            <w:vAlign w:val="center"/>
          </w:tcPr>
          <w:p w14:paraId="3462B5E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具体现象</w:t>
            </w:r>
          </w:p>
        </w:tc>
        <w:tc>
          <w:tcPr>
            <w:tcW w:w="1288" w:type="dxa"/>
            <w:vAlign w:val="center"/>
          </w:tcPr>
          <w:p w14:paraId="49E98E4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到达现场时间</w:t>
            </w:r>
          </w:p>
        </w:tc>
        <w:tc>
          <w:tcPr>
            <w:tcW w:w="3539" w:type="dxa"/>
            <w:vAlign w:val="center"/>
          </w:tcPr>
          <w:p w14:paraId="2003089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解决方案</w:t>
            </w:r>
          </w:p>
        </w:tc>
      </w:tr>
      <w:tr w14:paraId="6273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vAlign w:val="center"/>
          </w:tcPr>
          <w:p w14:paraId="0F1A5EC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一级故障</w:t>
            </w:r>
          </w:p>
        </w:tc>
        <w:tc>
          <w:tcPr>
            <w:tcW w:w="3120" w:type="dxa"/>
            <w:vAlign w:val="center"/>
          </w:tcPr>
          <w:p w14:paraId="01B19B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整个系统处于完全瘫痪状态，不能运行</w:t>
            </w:r>
          </w:p>
        </w:tc>
        <w:tc>
          <w:tcPr>
            <w:tcW w:w="1288" w:type="dxa"/>
            <w:vAlign w:val="center"/>
          </w:tcPr>
          <w:p w14:paraId="15982CD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3-6小时</w:t>
            </w:r>
          </w:p>
        </w:tc>
        <w:tc>
          <w:tcPr>
            <w:tcW w:w="3539" w:type="dxa"/>
            <w:vAlign w:val="center"/>
          </w:tcPr>
          <w:p w14:paraId="09FDA36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我方迅速及时到达故障现场处理故障。如果不能够定位故障原因，将协调派出资深的专家组奔赴现场。</w:t>
            </w:r>
          </w:p>
        </w:tc>
      </w:tr>
      <w:tr w14:paraId="54EF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vAlign w:val="center"/>
          </w:tcPr>
          <w:p w14:paraId="048BD60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二级故障</w:t>
            </w:r>
          </w:p>
        </w:tc>
        <w:tc>
          <w:tcPr>
            <w:tcW w:w="3120" w:type="dxa"/>
            <w:vAlign w:val="center"/>
          </w:tcPr>
          <w:p w14:paraId="039F924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系统性能严重下降：包括网络性能明显下降、设备出现故障或软件系统出现非瘫痪性错误等，客户业务运作受到严重影响。</w:t>
            </w:r>
          </w:p>
        </w:tc>
        <w:tc>
          <w:tcPr>
            <w:tcW w:w="1288" w:type="dxa"/>
            <w:vAlign w:val="center"/>
          </w:tcPr>
          <w:p w14:paraId="1BBB9AAB">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8</w:t>
            </w:r>
            <w:r>
              <w:rPr>
                <w:rFonts w:hint="eastAsia" w:ascii="宋体" w:hAnsi="宋体" w:eastAsia="宋体" w:cs="宋体"/>
                <w:sz w:val="24"/>
                <w:highlight w:val="none"/>
                <w:lang w:val="fr-FR"/>
              </w:rPr>
              <w:t>小时</w:t>
            </w:r>
          </w:p>
        </w:tc>
        <w:tc>
          <w:tcPr>
            <w:tcW w:w="3539" w:type="dxa"/>
            <w:vAlign w:val="center"/>
          </w:tcPr>
          <w:p w14:paraId="072942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我方迅速到达故障现场处理故障，并提供全面的设备运行报告和故障现象。</w:t>
            </w:r>
          </w:p>
        </w:tc>
      </w:tr>
      <w:tr w14:paraId="3BBA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vAlign w:val="center"/>
          </w:tcPr>
          <w:p w14:paraId="0B0B054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三级故障</w:t>
            </w:r>
          </w:p>
        </w:tc>
        <w:tc>
          <w:tcPr>
            <w:tcW w:w="3120" w:type="dxa"/>
            <w:vAlign w:val="center"/>
          </w:tcPr>
          <w:p w14:paraId="40D5E7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系统部分设备或者软件出现故障，但整个系统仍可正常运行，客户业务运作受到一定影响。</w:t>
            </w:r>
          </w:p>
        </w:tc>
        <w:tc>
          <w:tcPr>
            <w:tcW w:w="1288" w:type="dxa"/>
            <w:vAlign w:val="center"/>
          </w:tcPr>
          <w:p w14:paraId="6925E03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12</w:t>
            </w:r>
            <w:r>
              <w:rPr>
                <w:rFonts w:hint="eastAsia" w:ascii="宋体" w:hAnsi="宋体" w:eastAsia="宋体" w:cs="宋体"/>
                <w:sz w:val="24"/>
                <w:highlight w:val="none"/>
                <w:lang w:val="fr-FR"/>
              </w:rPr>
              <w:t>小时</w:t>
            </w:r>
          </w:p>
        </w:tc>
        <w:tc>
          <w:tcPr>
            <w:tcW w:w="3539" w:type="dxa"/>
            <w:vAlign w:val="center"/>
          </w:tcPr>
          <w:p w14:paraId="6D178E4C">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highlight w:val="none"/>
                <w:lang w:val="fr-FR"/>
              </w:rPr>
            </w:pPr>
            <w:r>
              <w:rPr>
                <w:rFonts w:hint="eastAsia" w:ascii="宋体" w:hAnsi="宋体" w:eastAsia="宋体" w:cs="宋体"/>
                <w:bCs/>
                <w:sz w:val="24"/>
                <w:highlight w:val="none"/>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4625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Align w:val="center"/>
          </w:tcPr>
          <w:p w14:paraId="0AE9C2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lang w:val="fr-FR"/>
              </w:rPr>
              <w:t>四级故障</w:t>
            </w:r>
          </w:p>
        </w:tc>
        <w:tc>
          <w:tcPr>
            <w:tcW w:w="3120" w:type="dxa"/>
            <w:vAlign w:val="center"/>
          </w:tcPr>
          <w:p w14:paraId="44C85F4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bCs/>
                <w:sz w:val="24"/>
                <w:highlight w:val="none"/>
              </w:rPr>
              <w:t>需要硬件、软件产品功能、安装或配置方面的信息和支援，对客户的业务运作几乎没有影响或者根本没有影响</w:t>
            </w:r>
          </w:p>
        </w:tc>
        <w:tc>
          <w:tcPr>
            <w:tcW w:w="1288" w:type="dxa"/>
            <w:vAlign w:val="center"/>
          </w:tcPr>
          <w:p w14:paraId="55FBD59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highlight w:val="none"/>
                <w:lang w:val="fr-FR"/>
              </w:rPr>
            </w:pPr>
            <w:r>
              <w:rPr>
                <w:rFonts w:hint="eastAsia" w:ascii="宋体" w:hAnsi="宋体" w:eastAsia="宋体" w:cs="宋体"/>
                <w:sz w:val="24"/>
                <w:highlight w:val="none"/>
              </w:rPr>
              <w:t>24</w:t>
            </w:r>
            <w:r>
              <w:rPr>
                <w:rFonts w:hint="eastAsia" w:ascii="宋体" w:hAnsi="宋体" w:eastAsia="宋体" w:cs="宋体"/>
                <w:sz w:val="24"/>
                <w:highlight w:val="none"/>
                <w:lang w:val="fr-FR"/>
              </w:rPr>
              <w:t>小时</w:t>
            </w:r>
          </w:p>
        </w:tc>
        <w:tc>
          <w:tcPr>
            <w:tcW w:w="3539" w:type="dxa"/>
            <w:vAlign w:val="center"/>
          </w:tcPr>
          <w:p w14:paraId="393F22C2">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highlight w:val="none"/>
                <w:lang w:val="fr-FR"/>
              </w:rPr>
            </w:pPr>
            <w:r>
              <w:rPr>
                <w:rFonts w:hint="eastAsia" w:ascii="宋体" w:hAnsi="宋体" w:eastAsia="宋体" w:cs="宋体"/>
                <w:bCs/>
                <w:sz w:val="24"/>
                <w:highlight w:val="none"/>
              </w:rPr>
              <w:t>我方工程师首先确定故障原因，协调找出损坏的设备部件并替换掉，使设备正常运行。此事件将被记录在案。</w:t>
            </w:r>
          </w:p>
        </w:tc>
      </w:tr>
    </w:tbl>
    <w:p w14:paraId="1D01FA61">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93" w:name="_Toc4751274"/>
      <w:bookmarkStart w:id="94" w:name="_Toc6840919"/>
      <w:bookmarkStart w:id="95" w:name="_Toc5281089"/>
      <w:bookmarkStart w:id="96" w:name="_Toc11940"/>
      <w:r>
        <w:rPr>
          <w:rFonts w:hint="eastAsia" w:ascii="宋体" w:hAnsi="宋体" w:eastAsia="宋体" w:cs="宋体"/>
          <w:b/>
          <w:bCs/>
          <w:kern w:val="2"/>
          <w:sz w:val="24"/>
          <w:szCs w:val="24"/>
          <w:highlight w:val="none"/>
          <w:lang w:val="en-US" w:eastAsia="zh-CN" w:bidi="ar-SA"/>
        </w:rPr>
        <w:t>八、出现故障响应时间分类表</w:t>
      </w:r>
      <w:bookmarkEnd w:id="93"/>
      <w:bookmarkEnd w:id="94"/>
      <w:bookmarkEnd w:id="95"/>
      <w:bookmarkEnd w:id="96"/>
    </w:p>
    <w:p w14:paraId="6FEF1B2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对于不同级别的故障，我方将进行分级处理，等级越高，处理的时间越短，派出人员的能力也越高。对于不同级别故障的故障响应人和故障处理方案如下：</w:t>
      </w:r>
    </w:p>
    <w:p w14:paraId="42F17EAF">
      <w:pPr>
        <w:widowControl/>
        <w:jc w:val="center"/>
        <w:rPr>
          <w:rFonts w:hint="eastAsia" w:ascii="宋体" w:hAnsi="宋体" w:eastAsia="宋体" w:cs="宋体"/>
          <w:b/>
          <w:spacing w:val="10"/>
          <w:kern w:val="0"/>
          <w:sz w:val="24"/>
          <w:highlight w:val="none"/>
        </w:rPr>
      </w:pPr>
      <w:r>
        <w:rPr>
          <w:rFonts w:hint="eastAsia" w:ascii="宋体" w:hAnsi="宋体" w:eastAsia="宋体" w:cs="宋体"/>
          <w:sz w:val="24"/>
          <w:highlight w:val="none"/>
        </w:rPr>
        <w:br w:type="page"/>
      </w:r>
      <w:r>
        <w:rPr>
          <w:rFonts w:hint="eastAsia" w:ascii="宋体" w:hAnsi="宋体" w:eastAsia="宋体" w:cs="宋体"/>
          <w:b/>
          <w:spacing w:val="10"/>
          <w:kern w:val="0"/>
          <w:sz w:val="24"/>
          <w:highlight w:val="none"/>
        </w:rPr>
        <w:t>故障响应处理表</w:t>
      </w:r>
    </w:p>
    <w:tbl>
      <w:tblPr>
        <w:tblStyle w:val="3"/>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14:paraId="1EA7C1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vAlign w:val="center"/>
          </w:tcPr>
          <w:p w14:paraId="4595DF6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w:t>
            </w:r>
          </w:p>
          <w:p w14:paraId="21A87ED6">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级别</w:t>
            </w:r>
          </w:p>
        </w:tc>
        <w:tc>
          <w:tcPr>
            <w:tcW w:w="2203" w:type="dxa"/>
            <w:vAlign w:val="center"/>
          </w:tcPr>
          <w:p w14:paraId="58169A5A">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故障响应人</w:t>
            </w:r>
          </w:p>
        </w:tc>
        <w:tc>
          <w:tcPr>
            <w:tcW w:w="5492" w:type="dxa"/>
            <w:vAlign w:val="center"/>
          </w:tcPr>
          <w:p w14:paraId="762C5AE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highlight w:val="none"/>
                <w:lang w:val="en-US" w:eastAsia="zh-CN" w:bidi="ar-SA"/>
              </w:rPr>
            </w:pPr>
            <w:r>
              <w:rPr>
                <w:rFonts w:hint="eastAsia" w:ascii="宋体" w:hAnsi="宋体" w:eastAsia="宋体" w:cs="宋体"/>
                <w:b/>
                <w:spacing w:val="10"/>
                <w:kern w:val="2"/>
                <w:sz w:val="24"/>
                <w:szCs w:val="24"/>
                <w:highlight w:val="none"/>
                <w:lang w:val="en-US" w:eastAsia="zh-CN" w:bidi="ar-SA"/>
              </w:rPr>
              <w:t>故障处理方案</w:t>
            </w:r>
          </w:p>
        </w:tc>
      </w:tr>
      <w:tr w14:paraId="410D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24C0FCB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一级故障</w:t>
            </w:r>
          </w:p>
        </w:tc>
        <w:tc>
          <w:tcPr>
            <w:tcW w:w="2203" w:type="dxa"/>
            <w:vAlign w:val="center"/>
          </w:tcPr>
          <w:p w14:paraId="1AAC4FD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我方主管领导</w:t>
            </w:r>
          </w:p>
          <w:p w14:paraId="5F7F2CD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2CE8101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技术中心负责人</w:t>
            </w:r>
          </w:p>
          <w:p w14:paraId="5DBF2AD5">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技术骨干工程师</w:t>
            </w:r>
          </w:p>
          <w:p w14:paraId="09DB28B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37B5A735">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4EDC74F8">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我方主管领导现场指挥；</w:t>
            </w:r>
          </w:p>
          <w:p w14:paraId="7A802A54">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安排相关部门负责人及技术骨干到场；</w:t>
            </w:r>
          </w:p>
          <w:p w14:paraId="21E4C95C">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启用应急方案，恢复系统运行；</w:t>
            </w:r>
          </w:p>
          <w:p w14:paraId="610D972D">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技术人员查找问题并解决问题；</w:t>
            </w:r>
          </w:p>
          <w:p w14:paraId="616D817F">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向招标方提交问题调查报告，并提供防止再次发生同类故障的措施和办法。</w:t>
            </w:r>
          </w:p>
        </w:tc>
      </w:tr>
      <w:tr w14:paraId="5D557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vAlign w:val="center"/>
          </w:tcPr>
          <w:p w14:paraId="4A276EAD">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二级故障</w:t>
            </w:r>
          </w:p>
        </w:tc>
        <w:tc>
          <w:tcPr>
            <w:tcW w:w="2203" w:type="dxa"/>
            <w:vAlign w:val="center"/>
          </w:tcPr>
          <w:p w14:paraId="65CDD24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2408585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技术中心负责人</w:t>
            </w:r>
          </w:p>
          <w:p w14:paraId="6F32C392">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技术骨干工程师</w:t>
            </w:r>
          </w:p>
          <w:p w14:paraId="0985A570">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672874A7">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16102900">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设备故障，停运出现故障的相关设备，进行隔离，在维修模式下或者接入调试系统诊断问题；</w:t>
            </w:r>
          </w:p>
          <w:p w14:paraId="0501A1EC">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网络问题，使用专用工具或者软件进行分析诊断，找到问题，必要时候，要求生产商到场协助解决；</w:t>
            </w:r>
          </w:p>
          <w:p w14:paraId="2AAD81B3">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向招标方提交问题调查报告，提供防止再次发生同类故障的措施和办法。</w:t>
            </w:r>
          </w:p>
        </w:tc>
      </w:tr>
      <w:tr w14:paraId="39A425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3271FF8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三级故障</w:t>
            </w:r>
          </w:p>
        </w:tc>
        <w:tc>
          <w:tcPr>
            <w:tcW w:w="2203" w:type="dxa"/>
            <w:vAlign w:val="center"/>
          </w:tcPr>
          <w:p w14:paraId="5A64E0C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技术服务负责人</w:t>
            </w:r>
          </w:p>
          <w:p w14:paraId="6B10A429">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技术服务工程师</w:t>
            </w:r>
          </w:p>
        </w:tc>
        <w:tc>
          <w:tcPr>
            <w:tcW w:w="5492" w:type="dxa"/>
            <w:vAlign w:val="center"/>
          </w:tcPr>
          <w:p w14:paraId="78769F9E">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79D671CC">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停运出现故障的相关设备，进行隔离，在维修模式下或者接入调试系统诊断问题，找到问题并解决问题；</w:t>
            </w:r>
          </w:p>
          <w:p w14:paraId="32D893A0">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向招标方提交问题调查报告，提供防止再次发生同类故障的措施和办法。</w:t>
            </w:r>
          </w:p>
        </w:tc>
      </w:tr>
      <w:tr w14:paraId="14664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vAlign w:val="center"/>
          </w:tcPr>
          <w:p w14:paraId="69520B9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四级故障</w:t>
            </w:r>
          </w:p>
        </w:tc>
        <w:tc>
          <w:tcPr>
            <w:tcW w:w="2203" w:type="dxa"/>
            <w:vAlign w:val="center"/>
          </w:tcPr>
          <w:p w14:paraId="0B94626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技术服务工程师</w:t>
            </w:r>
          </w:p>
        </w:tc>
        <w:tc>
          <w:tcPr>
            <w:tcW w:w="5492" w:type="dxa"/>
            <w:vAlign w:val="center"/>
          </w:tcPr>
          <w:p w14:paraId="5690A1A6">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电话支持解决；无法远程解决，进行现场技术服务；</w:t>
            </w:r>
          </w:p>
          <w:p w14:paraId="05964409">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现场解决问题；</w:t>
            </w:r>
          </w:p>
          <w:p w14:paraId="70BCC1DE">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记录问题原因、解决方法、时间、负责人等，供查询使用。</w:t>
            </w:r>
          </w:p>
        </w:tc>
      </w:tr>
    </w:tbl>
    <w:p w14:paraId="33F61A46">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发现故障后，由故障响应人组织和监控事故处理的过程；调度内部资源；保持与客户的沟通和联系及密切配合；协调其他必需的外部支持。并将在故障处理过程中，注意下列事项：</w:t>
      </w:r>
    </w:p>
    <w:p w14:paraId="035ACA3F">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我方若发现并希望对系统不符合质量要求之处进行整改和修复，将立即将其修复申请报告提交招标方，指出不合格之处和采取的修复方法。</w:t>
      </w:r>
    </w:p>
    <w:p w14:paraId="4D0D8C0E">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如果招标方未对我方按规定所提交的报告发出不合格通知，我方将立即查询此事，在接到通知14天内，提交招标方确认其整改措施和采取这些措施的理由。</w:t>
      </w:r>
    </w:p>
    <w:p w14:paraId="1BC2E5A1">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保证故障清查和排除；</w:t>
      </w:r>
    </w:p>
    <w:p w14:paraId="1EF02496">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保证更换出现异常而不符合本技术要求或设计文件要求的部件；</w:t>
      </w:r>
    </w:p>
    <w:p w14:paraId="7DB852D3">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如果发现的异常问题反复出现或其后果影响到安全，则进行调查研究。研究的结果可以导致小或大的整改以使其符合要求；</w:t>
      </w:r>
    </w:p>
    <w:p w14:paraId="234E5BAB">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提供用于丰富数据库的资料，以便随时了解系统的状态。</w:t>
      </w:r>
    </w:p>
    <w:p w14:paraId="101F8212">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如果发现的故障原因属于下述情况，我方将替换相同功能的全部零部件，且费用由我方负担∶</w:t>
      </w:r>
    </w:p>
    <w:p w14:paraId="23CDA2F0">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1）材料质量问题；</w:t>
      </w:r>
    </w:p>
    <w:p w14:paraId="22F0A615">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2）零部件设计和生产中出现的严重缺陷；</w:t>
      </w:r>
    </w:p>
    <w:p w14:paraId="052045C1">
      <w:pPr>
        <w:widowControl w:val="0"/>
        <w:tabs>
          <w:tab w:val="left" w:pos="567"/>
        </w:tabs>
        <w:spacing w:before="0" w:after="0"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3）对某些零部件（最小可更换单元）的更换和修理超过同类产品在同类型号零部件中的更换率（5%）。</w:t>
      </w:r>
    </w:p>
    <w:p w14:paraId="4220B396">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缺陷责任期内的义务包括对有缺陷零部件进行调查研究、拆卸、更换和重新安装。包括我方人员出差费用、包装和运输费用以及进行修复和更换所需的工具费用。</w:t>
      </w:r>
    </w:p>
    <w:p w14:paraId="7B965D5A">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如果故障清查的原因为软件故障时，我方将进行软件更换。</w:t>
      </w:r>
    </w:p>
    <w:p w14:paraId="52883A0F">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缺陷责任期内，如果发生系统运行故障并导致全线或部分停运，我方将赔偿招标方因停运给业主造成的损失。停运的赔偿额，按故障运营前1周的日均运营收入为基础进行计算。</w:t>
      </w:r>
    </w:p>
    <w:p w14:paraId="4F282EBC">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接到故障报告后，详细了解故障现象和系统状态，分析可能的原因（换版升级、异常操作、软件缺陷、硬件故障等）；</w:t>
      </w:r>
    </w:p>
    <w:p w14:paraId="5395C19B">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处理故障前，最大可能地保护并记录事故发生时的现场信息，以便故障原因的分析调查；</w:t>
      </w:r>
    </w:p>
    <w:p w14:paraId="333132F2">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与招标方方确认先恢复系统还是先查清原因；</w:t>
      </w:r>
    </w:p>
    <w:p w14:paraId="017C4D60">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处理故障时，分清有关操作的责任范围（对非我方提供的产品，以及涉及招标方方安全权限规定的数据，须得到招标方方的正式授权方可由我方人员操作）；</w:t>
      </w:r>
    </w:p>
    <w:p w14:paraId="18B11F17">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处理故障时，涉及业务操作及运行的任何变化，须征得招标方的认可；</w:t>
      </w:r>
    </w:p>
    <w:p w14:paraId="5E026635">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处理故障时，严格遵守质量流程和工程规范，严防因处理不当而引发新的故障，或埋下隐患。</w:t>
      </w:r>
    </w:p>
    <w:p w14:paraId="1D17F515">
      <w:pPr>
        <w:widowControl w:val="0"/>
        <w:numPr>
          <w:ilvl w:val="0"/>
          <w:numId w:val="8"/>
        </w:numPr>
        <w:tabs>
          <w:tab w:val="left" w:pos="567"/>
        </w:tabs>
        <w:spacing w:line="360" w:lineRule="auto"/>
        <w:ind w:left="0"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在故障得到妥善处理后一天内，故障响应人负责撰写故障处理报告报送招标方。报告的主要内容包括：</w:t>
      </w:r>
    </w:p>
    <w:p w14:paraId="3B21DF20">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故障发生的时间和地点；</w:t>
      </w:r>
    </w:p>
    <w:p w14:paraId="1D79A6D1">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故障发生的简要经过、主要影响和直接经济损失的最终估计；</w:t>
      </w:r>
    </w:p>
    <w:p w14:paraId="5F0171BF">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故障发生原因及责任；</w:t>
      </w:r>
    </w:p>
    <w:p w14:paraId="557593B6">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故障发生后采取的应急措施及故障控制情况；</w:t>
      </w:r>
    </w:p>
    <w:p w14:paraId="1AB09977">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故障处理过程中客户的反应及相应处理情况；</w:t>
      </w:r>
    </w:p>
    <w:p w14:paraId="03FC36BC">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采取的预防措施；</w:t>
      </w:r>
    </w:p>
    <w:p w14:paraId="7DCC8F3A">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对有关责任人的处理意见；</w:t>
      </w:r>
    </w:p>
    <w:p w14:paraId="2B9FA878">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97" w:name="_Toc18499"/>
      <w:bookmarkStart w:id="98" w:name="_Toc366082377"/>
      <w:bookmarkStart w:id="99" w:name="_Toc364089429"/>
      <w:bookmarkStart w:id="100" w:name="_Toc6840920"/>
      <w:bookmarkStart w:id="101" w:name="_Toc21319"/>
      <w:bookmarkStart w:id="102" w:name="_Toc5281090"/>
      <w:bookmarkStart w:id="103" w:name="_Toc18278"/>
      <w:bookmarkStart w:id="104" w:name="_Toc21397"/>
      <w:bookmarkStart w:id="105" w:name="_Toc4751275"/>
      <w:bookmarkStart w:id="106" w:name="_Toc3395"/>
      <w:r>
        <w:rPr>
          <w:rFonts w:hint="eastAsia" w:ascii="宋体" w:hAnsi="宋体" w:eastAsia="宋体" w:cs="宋体"/>
          <w:b/>
          <w:bCs/>
          <w:kern w:val="2"/>
          <w:sz w:val="24"/>
          <w:szCs w:val="24"/>
          <w:highlight w:val="none"/>
          <w:lang w:val="en-US" w:eastAsia="zh-CN" w:bidi="ar-SA"/>
        </w:rPr>
        <w:t>九、备品备件服务</w:t>
      </w:r>
      <w:bookmarkEnd w:id="97"/>
      <w:bookmarkEnd w:id="98"/>
      <w:bookmarkEnd w:id="99"/>
      <w:bookmarkEnd w:id="100"/>
      <w:bookmarkEnd w:id="101"/>
      <w:bookmarkEnd w:id="102"/>
      <w:bookmarkEnd w:id="103"/>
      <w:bookmarkEnd w:id="104"/>
      <w:bookmarkEnd w:id="105"/>
      <w:bookmarkEnd w:id="106"/>
    </w:p>
    <w:p w14:paraId="270EDBF0">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14:paraId="00183F96">
      <w:pPr>
        <w:widowControl w:val="0"/>
        <w:tabs>
          <w:tab w:val="left" w:pos="567"/>
        </w:tabs>
        <w:spacing w:line="360"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我方在备品备件仓库存储充足的备品备件，确保有足够的备品备件，并对备品备件进行必要的维护检查和保养，保证备品备件的性能可靠，随时可以投入应用。</w:t>
      </w:r>
    </w:p>
    <w:p w14:paraId="3D4C1637">
      <w:pPr>
        <w:keepNext/>
        <w:keepLines/>
        <w:widowControl w:val="0"/>
        <w:spacing w:before="0" w:after="0" w:line="360" w:lineRule="auto"/>
        <w:jc w:val="both"/>
        <w:outlineLvl w:val="2"/>
        <w:rPr>
          <w:rFonts w:hint="eastAsia" w:ascii="宋体" w:hAnsi="宋体" w:eastAsia="宋体" w:cs="宋体"/>
          <w:b/>
          <w:bCs/>
          <w:kern w:val="2"/>
          <w:sz w:val="24"/>
          <w:szCs w:val="24"/>
          <w:highlight w:val="none"/>
          <w:lang w:val="en-US" w:eastAsia="zh-CN" w:bidi="ar-SA"/>
        </w:rPr>
      </w:pPr>
      <w:bookmarkStart w:id="107" w:name="_Toc26056"/>
      <w:bookmarkStart w:id="108" w:name="_Toc5281091"/>
      <w:bookmarkStart w:id="109" w:name="_Toc6840921"/>
      <w:bookmarkStart w:id="110" w:name="_Toc28680"/>
      <w:bookmarkStart w:id="111" w:name="_Toc19162"/>
      <w:bookmarkStart w:id="112" w:name="_Toc16600"/>
      <w:bookmarkStart w:id="113" w:name="_Toc7749"/>
      <w:bookmarkStart w:id="114" w:name="_Toc4751276"/>
      <w:r>
        <w:rPr>
          <w:rFonts w:hint="eastAsia" w:ascii="宋体" w:hAnsi="宋体" w:eastAsia="宋体" w:cs="宋体"/>
          <w:b/>
          <w:bCs/>
          <w:kern w:val="2"/>
          <w:sz w:val="24"/>
          <w:szCs w:val="24"/>
          <w:highlight w:val="none"/>
          <w:lang w:val="en-US" w:eastAsia="zh-CN" w:bidi="ar-SA"/>
        </w:rPr>
        <w:t>十、质保期后的技术服务</w:t>
      </w:r>
      <w:bookmarkEnd w:id="107"/>
      <w:bookmarkEnd w:id="108"/>
      <w:bookmarkEnd w:id="109"/>
      <w:bookmarkEnd w:id="110"/>
      <w:bookmarkEnd w:id="111"/>
      <w:bookmarkEnd w:id="112"/>
      <w:bookmarkEnd w:id="113"/>
      <w:bookmarkEnd w:id="114"/>
    </w:p>
    <w:p w14:paraId="2AFD02B7">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质保期后技术服务</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14:paraId="7B3C6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vAlign w:val="center"/>
          </w:tcPr>
          <w:p w14:paraId="475DF99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质保期技术服务清单</w:t>
            </w:r>
          </w:p>
        </w:tc>
      </w:tr>
      <w:tr w14:paraId="44DE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vAlign w:val="center"/>
          </w:tcPr>
          <w:p w14:paraId="574C1D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序号</w:t>
            </w:r>
          </w:p>
        </w:tc>
        <w:tc>
          <w:tcPr>
            <w:tcW w:w="1843" w:type="dxa"/>
            <w:vAlign w:val="center"/>
          </w:tcPr>
          <w:p w14:paraId="1E051B0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服务项目</w:t>
            </w:r>
          </w:p>
        </w:tc>
        <w:tc>
          <w:tcPr>
            <w:tcW w:w="5415" w:type="dxa"/>
            <w:vAlign w:val="center"/>
          </w:tcPr>
          <w:p w14:paraId="44EAB84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highlight w:val="none"/>
              </w:rPr>
            </w:pPr>
            <w:r>
              <w:rPr>
                <w:rFonts w:hint="eastAsia" w:ascii="宋体" w:hAnsi="宋体" w:eastAsia="宋体" w:cs="宋体"/>
                <w:b/>
                <w:kern w:val="0"/>
                <w:sz w:val="24"/>
                <w:highlight w:val="none"/>
              </w:rPr>
              <w:t>计算标准</w:t>
            </w:r>
          </w:p>
        </w:tc>
        <w:tc>
          <w:tcPr>
            <w:tcW w:w="1172" w:type="dxa"/>
            <w:vAlign w:val="center"/>
          </w:tcPr>
          <w:p w14:paraId="7BAD5D3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备注</w:t>
            </w:r>
          </w:p>
        </w:tc>
      </w:tr>
      <w:tr w14:paraId="418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vAlign w:val="center"/>
          </w:tcPr>
          <w:p w14:paraId="24DD8E6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w:t>
            </w:r>
          </w:p>
        </w:tc>
        <w:tc>
          <w:tcPr>
            <w:tcW w:w="1843" w:type="dxa"/>
            <w:vAlign w:val="center"/>
          </w:tcPr>
          <w:p w14:paraId="62ADA11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远程支持服务</w:t>
            </w:r>
          </w:p>
        </w:tc>
        <w:tc>
          <w:tcPr>
            <w:tcW w:w="5415" w:type="dxa"/>
            <w:vAlign w:val="center"/>
          </w:tcPr>
          <w:p w14:paraId="3A0A0A1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vAlign w:val="center"/>
          </w:tcPr>
          <w:p w14:paraId="2E31A4D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质保期内技术服务免费</w:t>
            </w:r>
          </w:p>
        </w:tc>
      </w:tr>
      <w:tr w14:paraId="1621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71EA892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2</w:t>
            </w:r>
          </w:p>
        </w:tc>
        <w:tc>
          <w:tcPr>
            <w:tcW w:w="1843" w:type="dxa"/>
            <w:vAlign w:val="center"/>
          </w:tcPr>
          <w:p w14:paraId="4D9D3C1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咨询和电话支持服务7×24小时</w:t>
            </w:r>
          </w:p>
        </w:tc>
        <w:tc>
          <w:tcPr>
            <w:tcW w:w="5415" w:type="dxa"/>
            <w:vAlign w:val="center"/>
          </w:tcPr>
          <w:p w14:paraId="241645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vAlign w:val="center"/>
          </w:tcPr>
          <w:p w14:paraId="056F33C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4FD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1DE429FF">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3</w:t>
            </w:r>
          </w:p>
        </w:tc>
        <w:tc>
          <w:tcPr>
            <w:tcW w:w="1843" w:type="dxa"/>
            <w:vAlign w:val="center"/>
          </w:tcPr>
          <w:p w14:paraId="552BCD2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现场支持服务</w:t>
            </w:r>
          </w:p>
        </w:tc>
        <w:tc>
          <w:tcPr>
            <w:tcW w:w="5415" w:type="dxa"/>
            <w:vAlign w:val="center"/>
          </w:tcPr>
          <w:p w14:paraId="0C6AA09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我公司按项目需求派专业工程师进行技术支持服务</w:t>
            </w:r>
          </w:p>
        </w:tc>
        <w:tc>
          <w:tcPr>
            <w:tcW w:w="1172" w:type="dxa"/>
            <w:vMerge w:val="continue"/>
            <w:vAlign w:val="center"/>
          </w:tcPr>
          <w:p w14:paraId="719ED27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08C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73730E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4</w:t>
            </w:r>
          </w:p>
        </w:tc>
        <w:tc>
          <w:tcPr>
            <w:tcW w:w="1843" w:type="dxa"/>
            <w:vAlign w:val="center"/>
          </w:tcPr>
          <w:p w14:paraId="2B5CF3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现场值守服务</w:t>
            </w:r>
          </w:p>
        </w:tc>
        <w:tc>
          <w:tcPr>
            <w:tcW w:w="5415" w:type="dxa"/>
            <w:vAlign w:val="center"/>
          </w:tcPr>
          <w:p w14:paraId="27E701B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我公司按项目需求派项目工程师进行现场值守服务</w:t>
            </w:r>
          </w:p>
        </w:tc>
        <w:tc>
          <w:tcPr>
            <w:tcW w:w="1172" w:type="dxa"/>
            <w:vMerge w:val="continue"/>
            <w:vAlign w:val="center"/>
          </w:tcPr>
          <w:p w14:paraId="6439981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3A24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6B9546A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5</w:t>
            </w:r>
          </w:p>
        </w:tc>
        <w:tc>
          <w:tcPr>
            <w:tcW w:w="1843" w:type="dxa"/>
            <w:vAlign w:val="center"/>
          </w:tcPr>
          <w:p w14:paraId="58C47DC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重大事件技术支持服务</w:t>
            </w:r>
          </w:p>
        </w:tc>
        <w:tc>
          <w:tcPr>
            <w:tcW w:w="5415" w:type="dxa"/>
            <w:vAlign w:val="center"/>
          </w:tcPr>
          <w:p w14:paraId="051A717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我公司按项目需求安排资深工程师进行技术支持</w:t>
            </w:r>
          </w:p>
        </w:tc>
        <w:tc>
          <w:tcPr>
            <w:tcW w:w="1172" w:type="dxa"/>
            <w:vMerge w:val="continue"/>
            <w:vAlign w:val="center"/>
          </w:tcPr>
          <w:p w14:paraId="627EEB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009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327A2F1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6</w:t>
            </w:r>
          </w:p>
        </w:tc>
        <w:tc>
          <w:tcPr>
            <w:tcW w:w="1843" w:type="dxa"/>
            <w:vAlign w:val="center"/>
          </w:tcPr>
          <w:p w14:paraId="146CB41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版本升级服务</w:t>
            </w:r>
          </w:p>
        </w:tc>
        <w:tc>
          <w:tcPr>
            <w:tcW w:w="5415" w:type="dxa"/>
            <w:vAlign w:val="center"/>
          </w:tcPr>
          <w:p w14:paraId="29447A3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提供对应的软件版本支持并提供版本升级服务</w:t>
            </w:r>
          </w:p>
        </w:tc>
        <w:tc>
          <w:tcPr>
            <w:tcW w:w="1172" w:type="dxa"/>
            <w:vMerge w:val="continue"/>
            <w:vAlign w:val="center"/>
          </w:tcPr>
          <w:p w14:paraId="431176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8B5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vAlign w:val="center"/>
          </w:tcPr>
          <w:p w14:paraId="5B2AA5B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7</w:t>
            </w:r>
          </w:p>
        </w:tc>
        <w:tc>
          <w:tcPr>
            <w:tcW w:w="1843" w:type="dxa"/>
            <w:vAlign w:val="center"/>
          </w:tcPr>
          <w:p w14:paraId="0E24DFF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资料服务</w:t>
            </w:r>
          </w:p>
        </w:tc>
        <w:tc>
          <w:tcPr>
            <w:tcW w:w="5415" w:type="dxa"/>
            <w:vAlign w:val="center"/>
          </w:tcPr>
          <w:p w14:paraId="37B193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vAlign w:val="center"/>
          </w:tcPr>
          <w:p w14:paraId="326E9E2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43D9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9AD324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8</w:t>
            </w:r>
          </w:p>
        </w:tc>
        <w:tc>
          <w:tcPr>
            <w:tcW w:w="1843" w:type="dxa"/>
            <w:vAlign w:val="center"/>
          </w:tcPr>
          <w:p w14:paraId="146DB252">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故障件维修服务</w:t>
            </w:r>
          </w:p>
        </w:tc>
        <w:tc>
          <w:tcPr>
            <w:tcW w:w="5415" w:type="dxa"/>
            <w:vAlign w:val="center"/>
          </w:tcPr>
          <w:p w14:paraId="4F5EAAF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对用户在使用过程中出现的故障板件进行修复以保证设备持续可用的服务。</w:t>
            </w:r>
          </w:p>
        </w:tc>
        <w:tc>
          <w:tcPr>
            <w:tcW w:w="1172" w:type="dxa"/>
            <w:vMerge w:val="continue"/>
            <w:vAlign w:val="center"/>
          </w:tcPr>
          <w:p w14:paraId="7DD0870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0393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45AFA05">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9</w:t>
            </w:r>
          </w:p>
        </w:tc>
        <w:tc>
          <w:tcPr>
            <w:tcW w:w="1843" w:type="dxa"/>
            <w:vAlign w:val="center"/>
          </w:tcPr>
          <w:p w14:paraId="3136320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备件同步升级服务</w:t>
            </w:r>
          </w:p>
        </w:tc>
        <w:tc>
          <w:tcPr>
            <w:tcW w:w="5415" w:type="dxa"/>
            <w:vAlign w:val="center"/>
          </w:tcPr>
          <w:p w14:paraId="072A612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FDE05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6914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52EBD82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10</w:t>
            </w:r>
          </w:p>
        </w:tc>
        <w:tc>
          <w:tcPr>
            <w:tcW w:w="1843" w:type="dxa"/>
            <w:vAlign w:val="center"/>
          </w:tcPr>
          <w:p w14:paraId="3CD0E45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设备巡检及健康检查服务</w:t>
            </w:r>
          </w:p>
        </w:tc>
        <w:tc>
          <w:tcPr>
            <w:tcW w:w="5415" w:type="dxa"/>
            <w:vAlign w:val="center"/>
          </w:tcPr>
          <w:p w14:paraId="34D53EC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按项目需求派项目工程师进行设备巡检及健康检查服务</w:t>
            </w:r>
          </w:p>
        </w:tc>
        <w:tc>
          <w:tcPr>
            <w:tcW w:w="1172" w:type="dxa"/>
            <w:vMerge w:val="continue"/>
            <w:vAlign w:val="center"/>
          </w:tcPr>
          <w:p w14:paraId="73D5B8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E3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vAlign w:val="center"/>
          </w:tcPr>
          <w:p w14:paraId="5CF9AF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11</w:t>
            </w:r>
          </w:p>
        </w:tc>
        <w:tc>
          <w:tcPr>
            <w:tcW w:w="1843" w:type="dxa"/>
            <w:vAlign w:val="center"/>
          </w:tcPr>
          <w:p w14:paraId="71BF2D0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第三方设备技术支持服务</w:t>
            </w:r>
          </w:p>
        </w:tc>
        <w:tc>
          <w:tcPr>
            <w:tcW w:w="5415" w:type="dxa"/>
            <w:vAlign w:val="center"/>
          </w:tcPr>
          <w:p w14:paraId="4E2FEC7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vAlign w:val="center"/>
          </w:tcPr>
          <w:p w14:paraId="1F8F799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05E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D4626C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12</w:t>
            </w:r>
          </w:p>
        </w:tc>
        <w:tc>
          <w:tcPr>
            <w:tcW w:w="1843" w:type="dxa"/>
            <w:vAlign w:val="center"/>
          </w:tcPr>
          <w:p w14:paraId="174B2A4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配合运用质量分析服务</w:t>
            </w:r>
          </w:p>
        </w:tc>
        <w:tc>
          <w:tcPr>
            <w:tcW w:w="5415" w:type="dxa"/>
            <w:vAlign w:val="center"/>
          </w:tcPr>
          <w:p w14:paraId="39A22BF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我公司按项目需求提供配合运用质量分析服务</w:t>
            </w:r>
          </w:p>
        </w:tc>
        <w:tc>
          <w:tcPr>
            <w:tcW w:w="1172" w:type="dxa"/>
            <w:vMerge w:val="continue"/>
            <w:vAlign w:val="center"/>
          </w:tcPr>
          <w:p w14:paraId="1D7E00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2A29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7F9F8EF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13</w:t>
            </w:r>
          </w:p>
        </w:tc>
        <w:tc>
          <w:tcPr>
            <w:tcW w:w="1843" w:type="dxa"/>
            <w:vAlign w:val="center"/>
          </w:tcPr>
          <w:p w14:paraId="273C6F8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网络优化服务</w:t>
            </w:r>
          </w:p>
        </w:tc>
        <w:tc>
          <w:tcPr>
            <w:tcW w:w="5415" w:type="dxa"/>
            <w:vAlign w:val="center"/>
          </w:tcPr>
          <w:p w14:paraId="548F40C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我公司按项目需求提供网络优化服务</w:t>
            </w:r>
          </w:p>
        </w:tc>
        <w:tc>
          <w:tcPr>
            <w:tcW w:w="1172" w:type="dxa"/>
            <w:vMerge w:val="continue"/>
            <w:vAlign w:val="center"/>
          </w:tcPr>
          <w:p w14:paraId="16B49E4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1FCB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03CD492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14</w:t>
            </w:r>
          </w:p>
        </w:tc>
        <w:tc>
          <w:tcPr>
            <w:tcW w:w="1843" w:type="dxa"/>
            <w:vAlign w:val="center"/>
          </w:tcPr>
          <w:p w14:paraId="757CE59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紧急故障恢复服务</w:t>
            </w:r>
          </w:p>
        </w:tc>
        <w:tc>
          <w:tcPr>
            <w:tcW w:w="5415" w:type="dxa"/>
            <w:vAlign w:val="center"/>
          </w:tcPr>
          <w:p w14:paraId="5380AC1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按照故障处理难易程度收费</w:t>
            </w:r>
          </w:p>
        </w:tc>
        <w:tc>
          <w:tcPr>
            <w:tcW w:w="1172" w:type="dxa"/>
            <w:vMerge w:val="continue"/>
            <w:vAlign w:val="center"/>
          </w:tcPr>
          <w:p w14:paraId="0A55FC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3AC8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A07371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15</w:t>
            </w:r>
          </w:p>
        </w:tc>
        <w:tc>
          <w:tcPr>
            <w:tcW w:w="1843" w:type="dxa"/>
            <w:vAlign w:val="center"/>
          </w:tcPr>
          <w:p w14:paraId="31D94DD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备件紧急支持服务</w:t>
            </w:r>
          </w:p>
        </w:tc>
        <w:tc>
          <w:tcPr>
            <w:tcW w:w="5415" w:type="dxa"/>
            <w:vAlign w:val="center"/>
          </w:tcPr>
          <w:p w14:paraId="788CEF5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服务免费，硬件按备件报价收费</w:t>
            </w:r>
          </w:p>
        </w:tc>
        <w:tc>
          <w:tcPr>
            <w:tcW w:w="1172" w:type="dxa"/>
            <w:vMerge w:val="continue"/>
            <w:vAlign w:val="center"/>
          </w:tcPr>
          <w:p w14:paraId="51C62D66">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33D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3B8D2C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16</w:t>
            </w:r>
          </w:p>
        </w:tc>
        <w:tc>
          <w:tcPr>
            <w:tcW w:w="1843" w:type="dxa"/>
            <w:vAlign w:val="center"/>
          </w:tcPr>
          <w:p w14:paraId="31E1AC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备件销售服务</w:t>
            </w:r>
          </w:p>
        </w:tc>
        <w:tc>
          <w:tcPr>
            <w:tcW w:w="5415" w:type="dxa"/>
            <w:vAlign w:val="center"/>
          </w:tcPr>
          <w:p w14:paraId="39AD0A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服务免费，硬件按备件报价收费</w:t>
            </w:r>
          </w:p>
        </w:tc>
        <w:tc>
          <w:tcPr>
            <w:tcW w:w="1172" w:type="dxa"/>
            <w:vMerge w:val="continue"/>
            <w:vAlign w:val="center"/>
          </w:tcPr>
          <w:p w14:paraId="3E703F6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434E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BB55EB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17</w:t>
            </w:r>
          </w:p>
        </w:tc>
        <w:tc>
          <w:tcPr>
            <w:tcW w:w="1843" w:type="dxa"/>
            <w:vAlign w:val="center"/>
          </w:tcPr>
          <w:p w14:paraId="47FF3FD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备件同步升级服务</w:t>
            </w:r>
          </w:p>
        </w:tc>
        <w:tc>
          <w:tcPr>
            <w:tcW w:w="5415" w:type="dxa"/>
            <w:vAlign w:val="center"/>
          </w:tcPr>
          <w:p w14:paraId="263FE4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C25703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5549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2E7D029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18</w:t>
            </w:r>
          </w:p>
        </w:tc>
        <w:tc>
          <w:tcPr>
            <w:tcW w:w="1843" w:type="dxa"/>
            <w:vAlign w:val="center"/>
          </w:tcPr>
          <w:p w14:paraId="0CD9F63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运维交流会服务</w:t>
            </w:r>
          </w:p>
        </w:tc>
        <w:tc>
          <w:tcPr>
            <w:tcW w:w="5415" w:type="dxa"/>
            <w:vAlign w:val="center"/>
          </w:tcPr>
          <w:p w14:paraId="20C8344A">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根据需要派专业工程师提供运维交流会服务</w:t>
            </w:r>
          </w:p>
        </w:tc>
        <w:tc>
          <w:tcPr>
            <w:tcW w:w="1172" w:type="dxa"/>
            <w:vMerge w:val="continue"/>
            <w:vAlign w:val="center"/>
          </w:tcPr>
          <w:p w14:paraId="3B8AC23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BC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01F8FC2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19</w:t>
            </w:r>
          </w:p>
        </w:tc>
        <w:tc>
          <w:tcPr>
            <w:tcW w:w="1843" w:type="dxa"/>
            <w:vAlign w:val="center"/>
          </w:tcPr>
          <w:p w14:paraId="47ED892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维保执行月报服务</w:t>
            </w:r>
          </w:p>
        </w:tc>
        <w:tc>
          <w:tcPr>
            <w:tcW w:w="5415" w:type="dxa"/>
            <w:vAlign w:val="center"/>
          </w:tcPr>
          <w:p w14:paraId="7EB29C9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根据需要进行维保服务</w:t>
            </w:r>
          </w:p>
        </w:tc>
        <w:tc>
          <w:tcPr>
            <w:tcW w:w="1172" w:type="dxa"/>
            <w:vMerge w:val="continue"/>
            <w:vAlign w:val="center"/>
          </w:tcPr>
          <w:p w14:paraId="252E496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r w14:paraId="712C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3CF9B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20</w:t>
            </w:r>
          </w:p>
        </w:tc>
        <w:tc>
          <w:tcPr>
            <w:tcW w:w="1843" w:type="dxa"/>
            <w:vAlign w:val="center"/>
          </w:tcPr>
          <w:p w14:paraId="2E96EEE4">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其它服务</w:t>
            </w:r>
          </w:p>
        </w:tc>
        <w:tc>
          <w:tcPr>
            <w:tcW w:w="5415" w:type="dxa"/>
            <w:vAlign w:val="center"/>
          </w:tcPr>
          <w:p w14:paraId="6F576802">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c>
          <w:tcPr>
            <w:tcW w:w="1172" w:type="dxa"/>
            <w:vMerge w:val="continue"/>
            <w:vAlign w:val="center"/>
          </w:tcPr>
          <w:p w14:paraId="073E040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highlight w:val="none"/>
              </w:rPr>
            </w:pPr>
          </w:p>
        </w:tc>
      </w:tr>
    </w:tbl>
    <w:p w14:paraId="44721652">
      <w:pPr>
        <w:widowControl w:val="0"/>
        <w:jc w:val="both"/>
        <w:rPr>
          <w:rFonts w:ascii="Calibri" w:hAnsi="Calibri" w:eastAsia="宋体" w:cs="Times New Roman"/>
          <w:kern w:val="2"/>
          <w:sz w:val="21"/>
          <w:szCs w:val="22"/>
          <w:highlight w:val="none"/>
          <w:lang w:val="en-US" w:eastAsia="zh-CN" w:bidi="ar-SA"/>
        </w:rPr>
      </w:pPr>
      <w:bookmarkStart w:id="115" w:name="_Toc14764"/>
      <w:bookmarkStart w:id="116" w:name="_Toc3902"/>
      <w:bookmarkStart w:id="117" w:name="_Toc20906"/>
      <w:bookmarkStart w:id="118" w:name="_Toc20859"/>
      <w:bookmarkStart w:id="119" w:name="_Toc4751277"/>
      <w:bookmarkStart w:id="120" w:name="_Toc5281092"/>
      <w:bookmarkStart w:id="121" w:name="_Toc20868"/>
    </w:p>
    <w:p w14:paraId="67CF3050">
      <w:pPr>
        <w:rPr>
          <w:rFonts w:ascii="Times New Roman" w:hAnsi="Times New Roman" w:eastAsia="宋体" w:cs="Times New Roman"/>
          <w:highlight w:val="none"/>
        </w:rPr>
      </w:pPr>
    </w:p>
    <w:bookmarkEnd w:id="115"/>
    <w:bookmarkEnd w:id="116"/>
    <w:bookmarkEnd w:id="117"/>
    <w:bookmarkEnd w:id="118"/>
    <w:p w14:paraId="127D55D1">
      <w:pPr>
        <w:keepNext/>
        <w:keepLines/>
        <w:widowControl w:val="0"/>
        <w:spacing w:before="0" w:after="0" w:line="360" w:lineRule="auto"/>
        <w:jc w:val="both"/>
        <w:outlineLvl w:val="1"/>
        <w:rPr>
          <w:rFonts w:hint="eastAsia" w:ascii="宋体" w:hAnsi="宋体" w:eastAsia="宋体" w:cs="宋体"/>
          <w:b/>
          <w:bCs/>
          <w:kern w:val="2"/>
          <w:sz w:val="24"/>
          <w:szCs w:val="24"/>
          <w:highlight w:val="none"/>
          <w:lang w:val="en-US" w:eastAsia="zh-CN" w:bidi="ar-SA"/>
        </w:rPr>
      </w:pPr>
      <w:bookmarkStart w:id="122" w:name="_Toc6840922"/>
      <w:r>
        <w:rPr>
          <w:rFonts w:hint="eastAsia" w:ascii="宋体" w:hAnsi="宋体" w:eastAsia="宋体" w:cs="宋体"/>
          <w:b/>
          <w:bCs/>
          <w:kern w:val="2"/>
          <w:sz w:val="24"/>
          <w:szCs w:val="24"/>
          <w:highlight w:val="none"/>
          <w:lang w:val="en-US" w:eastAsia="zh-CN" w:bidi="ar-SA"/>
        </w:rPr>
        <w:t>十一、售后服务人员配置情况</w:t>
      </w:r>
      <w:bookmarkEnd w:id="119"/>
      <w:bookmarkEnd w:id="120"/>
      <w:bookmarkEnd w:id="121"/>
      <w:bookmarkEnd w:id="122"/>
    </w:p>
    <w:tbl>
      <w:tblPr>
        <w:tblStyle w:val="3"/>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14:paraId="1AEB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vAlign w:val="center"/>
          </w:tcPr>
          <w:p w14:paraId="6D51E3D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服务机构名称</w:t>
            </w:r>
          </w:p>
        </w:tc>
        <w:tc>
          <w:tcPr>
            <w:tcW w:w="1643" w:type="dxa"/>
            <w:vAlign w:val="center"/>
          </w:tcPr>
          <w:p w14:paraId="799F137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联系人</w:t>
            </w:r>
          </w:p>
        </w:tc>
        <w:tc>
          <w:tcPr>
            <w:tcW w:w="2411" w:type="dxa"/>
            <w:vAlign w:val="center"/>
          </w:tcPr>
          <w:p w14:paraId="66BB6E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职责</w:t>
            </w:r>
          </w:p>
        </w:tc>
        <w:tc>
          <w:tcPr>
            <w:tcW w:w="2215" w:type="dxa"/>
            <w:vAlign w:val="center"/>
          </w:tcPr>
          <w:p w14:paraId="3F898C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r>
              <w:rPr>
                <w:rFonts w:hint="eastAsia" w:ascii="宋体" w:hAnsi="宋体" w:eastAsia="宋体" w:cs="宋体"/>
                <w:sz w:val="24"/>
                <w:highlight w:val="none"/>
              </w:rPr>
              <w:t>联系电话</w:t>
            </w:r>
          </w:p>
        </w:tc>
      </w:tr>
      <w:tr w14:paraId="0A79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vAlign w:val="center"/>
          </w:tcPr>
          <w:p w14:paraId="49156D6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5614034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58CDBCD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67D250F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23AD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75546A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4291EE4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736DD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577E4F1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5061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4DE9C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1C2469C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3BF998E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716BD1E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r w14:paraId="7026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vAlign w:val="center"/>
          </w:tcPr>
          <w:p w14:paraId="3D4E647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1643" w:type="dxa"/>
            <w:vAlign w:val="center"/>
          </w:tcPr>
          <w:p w14:paraId="0371D69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411" w:type="dxa"/>
            <w:vAlign w:val="center"/>
          </w:tcPr>
          <w:p w14:paraId="41424E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c>
          <w:tcPr>
            <w:tcW w:w="2215" w:type="dxa"/>
            <w:vAlign w:val="center"/>
          </w:tcPr>
          <w:p w14:paraId="27BBF15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highlight w:val="none"/>
              </w:rPr>
            </w:pPr>
          </w:p>
        </w:tc>
      </w:tr>
    </w:tbl>
    <w:p w14:paraId="1ABB0112">
      <w:pPr>
        <w:jc w:val="center"/>
        <w:rPr>
          <w:rFonts w:hint="eastAsia" w:ascii="宋体" w:hAnsi="宋体" w:eastAsia="宋体" w:cs="宋体"/>
          <w:b/>
          <w:bCs/>
          <w:sz w:val="24"/>
          <w:highlight w:val="none"/>
        </w:rPr>
      </w:pPr>
      <w:r>
        <w:rPr>
          <w:rFonts w:hint="eastAsia" w:ascii="宋体" w:hAnsi="宋体" w:eastAsia="宋体" w:cs="宋体"/>
          <w:b/>
          <w:bCs/>
          <w:sz w:val="24"/>
          <w:highlight w:val="none"/>
        </w:rPr>
        <w:t xml:space="preserve"> </w:t>
      </w:r>
    </w:p>
    <w:p w14:paraId="1324D1B4">
      <w:pPr>
        <w:jc w:val="center"/>
        <w:rPr>
          <w:rFonts w:hint="eastAsia" w:ascii="宋体" w:hAnsi="宋体" w:eastAsia="宋体" w:cs="宋体"/>
          <w:b/>
          <w:bCs/>
          <w:sz w:val="24"/>
          <w:highlight w:val="none"/>
        </w:rPr>
      </w:pPr>
    </w:p>
    <w:p w14:paraId="068DA8C8">
      <w:pPr>
        <w:jc w:val="center"/>
        <w:rPr>
          <w:rFonts w:hint="eastAsia" w:ascii="宋体" w:hAnsi="宋体" w:eastAsia="宋体" w:cs="宋体"/>
          <w:b/>
          <w:bCs/>
          <w:sz w:val="24"/>
          <w:highlight w:val="none"/>
        </w:rPr>
      </w:pPr>
      <w:r>
        <w:rPr>
          <w:rFonts w:hint="eastAsia" w:ascii="宋体" w:hAnsi="宋体" w:eastAsia="宋体" w:cs="宋体"/>
          <w:b/>
          <w:bCs/>
          <w:sz w:val="24"/>
          <w:highlight w:val="none"/>
        </w:rPr>
        <w:t>办公地点及</w:t>
      </w:r>
      <w:r>
        <w:rPr>
          <w:rFonts w:ascii="宋体" w:hAnsi="宋体" w:eastAsia="宋体" w:cs="宋体"/>
          <w:b/>
          <w:bCs/>
          <w:sz w:val="24"/>
          <w:highlight w:val="none"/>
        </w:rPr>
        <w:t>服务机构</w:t>
      </w:r>
    </w:p>
    <w:p w14:paraId="0390B197">
      <w:pPr>
        <w:widowControl w:val="0"/>
        <w:jc w:val="both"/>
        <w:rPr>
          <w:rFonts w:ascii="Calibri" w:hAnsi="Calibri" w:eastAsia="宋体" w:cs="Times New Roman"/>
          <w:kern w:val="2"/>
          <w:sz w:val="24"/>
          <w:szCs w:val="24"/>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14:paraId="6C38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vAlign w:val="center"/>
          </w:tcPr>
          <w:p w14:paraId="60F9926B">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服务</w:t>
            </w:r>
            <w:r>
              <w:rPr>
                <w:rFonts w:hint="default" w:ascii="宋体" w:hAnsi="宋体" w:eastAsia="宋体" w:cs="Times New Roman"/>
                <w:sz w:val="24"/>
                <w:highlight w:val="none"/>
              </w:rPr>
              <w:t>机构名称</w:t>
            </w:r>
          </w:p>
        </w:tc>
        <w:tc>
          <w:tcPr>
            <w:tcW w:w="990" w:type="dxa"/>
            <w:vAlign w:val="center"/>
          </w:tcPr>
          <w:p w14:paraId="6173054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所在地</w:t>
            </w:r>
          </w:p>
        </w:tc>
        <w:tc>
          <w:tcPr>
            <w:tcW w:w="1140" w:type="dxa"/>
            <w:vAlign w:val="center"/>
          </w:tcPr>
          <w:p w14:paraId="149EA960">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部门</w:t>
            </w:r>
          </w:p>
        </w:tc>
        <w:tc>
          <w:tcPr>
            <w:tcW w:w="1545" w:type="dxa"/>
            <w:vAlign w:val="center"/>
          </w:tcPr>
          <w:p w14:paraId="25D471E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联系</w:t>
            </w:r>
            <w:r>
              <w:rPr>
                <w:rFonts w:hint="default" w:ascii="宋体" w:hAnsi="宋体" w:eastAsia="宋体" w:cs="Times New Roman"/>
                <w:sz w:val="24"/>
                <w:highlight w:val="none"/>
              </w:rPr>
              <w:t>电话</w:t>
            </w:r>
          </w:p>
        </w:tc>
        <w:tc>
          <w:tcPr>
            <w:tcW w:w="2894" w:type="dxa"/>
            <w:vAlign w:val="center"/>
          </w:tcPr>
          <w:p w14:paraId="6222CDA9">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r>
              <w:rPr>
                <w:rFonts w:hint="eastAsia" w:ascii="宋体" w:hAnsi="宋体" w:eastAsia="宋体" w:cs="Times New Roman"/>
                <w:sz w:val="24"/>
                <w:highlight w:val="none"/>
              </w:rPr>
              <w:t>地址</w:t>
            </w:r>
          </w:p>
        </w:tc>
      </w:tr>
      <w:tr w14:paraId="5895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vAlign w:val="center"/>
          </w:tcPr>
          <w:p w14:paraId="57507ACF">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990" w:type="dxa"/>
            <w:vAlign w:val="center"/>
          </w:tcPr>
          <w:p w14:paraId="458438D5">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1140" w:type="dxa"/>
            <w:vAlign w:val="center"/>
          </w:tcPr>
          <w:p w14:paraId="7C8510DA">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1545" w:type="dxa"/>
            <w:vAlign w:val="center"/>
          </w:tcPr>
          <w:p w14:paraId="17E4745B">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c>
          <w:tcPr>
            <w:tcW w:w="2894" w:type="dxa"/>
            <w:vAlign w:val="center"/>
          </w:tcPr>
          <w:p w14:paraId="325095F6">
            <w:pPr>
              <w:keepNext w:val="0"/>
              <w:keepLines w:val="0"/>
              <w:suppressLineNumbers w:val="0"/>
              <w:spacing w:before="0" w:beforeAutospacing="0" w:after="0" w:afterAutospacing="0"/>
              <w:ind w:left="0" w:right="0"/>
              <w:jc w:val="center"/>
              <w:rPr>
                <w:rFonts w:hint="eastAsia" w:ascii="宋体" w:hAnsi="宋体" w:eastAsia="宋体" w:cs="Times New Roman"/>
                <w:sz w:val="24"/>
                <w:highlight w:val="none"/>
              </w:rPr>
            </w:pPr>
          </w:p>
        </w:tc>
      </w:tr>
    </w:tbl>
    <w:p w14:paraId="035E4B6D">
      <w:pPr>
        <w:widowControl w:val="0"/>
        <w:jc w:val="both"/>
        <w:rPr>
          <w:rFonts w:ascii="Calibri" w:hAnsi="Calibri" w:eastAsia="宋体" w:cs="Times New Roman"/>
          <w:kern w:val="2"/>
          <w:sz w:val="21"/>
          <w:szCs w:val="22"/>
          <w:highlight w:val="none"/>
          <w:lang w:val="en-US" w:eastAsia="zh-CN" w:bidi="ar-SA"/>
        </w:rPr>
      </w:pPr>
    </w:p>
    <w:p w14:paraId="5380527D">
      <w:pPr>
        <w:widowControl w:val="0"/>
        <w:jc w:val="both"/>
        <w:rPr>
          <w:rFonts w:ascii="Calibri" w:hAnsi="Calibri" w:eastAsia="宋体" w:cs="Times New Roman"/>
          <w:kern w:val="2"/>
          <w:sz w:val="21"/>
          <w:szCs w:val="22"/>
          <w:highlight w:val="none"/>
          <w:lang w:val="en-US" w:eastAsia="zh-CN" w:bidi="ar-SA"/>
        </w:rPr>
      </w:pPr>
    </w:p>
    <w:p w14:paraId="7CE96098">
      <w:pPr>
        <w:widowControl w:val="0"/>
        <w:jc w:val="both"/>
        <w:rPr>
          <w:rFonts w:ascii="Calibri" w:hAnsi="Calibri" w:eastAsia="宋体" w:cs="Times New Roman"/>
          <w:kern w:val="2"/>
          <w:sz w:val="21"/>
          <w:szCs w:val="22"/>
          <w:highlight w:val="none"/>
          <w:lang w:val="en-US" w:eastAsia="zh-CN" w:bidi="ar-SA"/>
        </w:rPr>
      </w:pPr>
    </w:p>
    <w:p w14:paraId="202BA999">
      <w:pPr>
        <w:widowControl w:val="0"/>
        <w:jc w:val="both"/>
        <w:rPr>
          <w:rFonts w:ascii="Calibri" w:hAnsi="Calibri" w:eastAsia="宋体" w:cs="Times New Roman"/>
          <w:kern w:val="2"/>
          <w:sz w:val="21"/>
          <w:szCs w:val="22"/>
          <w:highlight w:val="none"/>
          <w:lang w:val="en-US" w:eastAsia="zh-CN" w:bidi="ar-SA"/>
        </w:rPr>
      </w:pPr>
    </w:p>
    <w:p w14:paraId="46160828">
      <w:pPr>
        <w:widowControl w:val="0"/>
        <w:jc w:val="both"/>
        <w:rPr>
          <w:rFonts w:ascii="Calibri" w:hAnsi="Calibri" w:eastAsia="宋体" w:cs="Times New Roman"/>
          <w:kern w:val="2"/>
          <w:sz w:val="21"/>
          <w:szCs w:val="22"/>
          <w:highlight w:val="none"/>
          <w:lang w:val="en-US" w:eastAsia="zh-CN" w:bidi="ar-SA"/>
        </w:rPr>
      </w:pPr>
    </w:p>
    <w:p w14:paraId="5643BB80">
      <w:pPr>
        <w:widowControl w:val="0"/>
        <w:jc w:val="both"/>
        <w:rPr>
          <w:rFonts w:ascii="Calibri" w:hAnsi="Calibri" w:eastAsia="宋体" w:cs="Times New Roman"/>
          <w:kern w:val="2"/>
          <w:sz w:val="21"/>
          <w:szCs w:val="22"/>
          <w:highlight w:val="none"/>
          <w:lang w:val="en-US" w:eastAsia="zh-CN" w:bidi="ar-SA"/>
        </w:rPr>
      </w:pPr>
    </w:p>
    <w:p w14:paraId="12944D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BA4C30"/>
    <w:multiLevelType w:val="singleLevel"/>
    <w:tmpl w:val="39BA4C30"/>
    <w:lvl w:ilvl="0" w:tentative="0">
      <w:start w:val="1"/>
      <w:numFmt w:val="decimal"/>
      <w:suff w:val="space"/>
      <w:lvlText w:val="%1."/>
      <w:lvlJc w:val="left"/>
    </w:lvl>
  </w:abstractNum>
  <w:abstractNum w:abstractNumId="3">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5A6183C"/>
    <w:multiLevelType w:val="singleLevel"/>
    <w:tmpl w:val="55A6183C"/>
    <w:lvl w:ilvl="0" w:tentative="0">
      <w:start w:val="1"/>
      <w:numFmt w:val="chineseCounting"/>
      <w:suff w:val="nothing"/>
      <w:lvlText w:val="%1、"/>
      <w:lvlJc w:val="left"/>
    </w:lvl>
  </w:abstractNum>
  <w:abstractNum w:abstractNumId="5">
    <w:nsid w:val="5965F3C0"/>
    <w:multiLevelType w:val="singleLevel"/>
    <w:tmpl w:val="5965F3C0"/>
    <w:lvl w:ilvl="0" w:tentative="0">
      <w:start w:val="1"/>
      <w:numFmt w:val="decimal"/>
      <w:suff w:val="nothing"/>
      <w:lvlText w:val="%1、"/>
      <w:lvlJc w:val="left"/>
    </w:lvl>
  </w:abstractNum>
  <w:abstractNum w:abstractNumId="6">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8">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8"/>
  </w:num>
  <w:num w:numId="4">
    <w:abstractNumId w:val="1"/>
  </w:num>
  <w:num w:numId="5">
    <w:abstractNumId w:val="3"/>
  </w:num>
  <w:num w:numId="6">
    <w:abstractNumId w:val="5"/>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C0C30"/>
    <w:rsid w:val="4F2C0C30"/>
    <w:rsid w:val="5C260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17273</Words>
  <Characters>17619</Characters>
  <Lines>0</Lines>
  <Paragraphs>0</Paragraphs>
  <TotalTime>11</TotalTime>
  <ScaleCrop>false</ScaleCrop>
  <LinksUpToDate>false</LinksUpToDate>
  <CharactersWithSpaces>18164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2025-08-15T09:52:00Z</dcterms:created>
  <dc:creator>一路向阳</dc:creator>
  <cp:lastModifiedBy>巩毓</cp:lastModifiedBy>
  <dcterms:modified xsi:type="dcterms:W3CDTF">2025-08-29T09:10:53Z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2CC560E735654BC7B1DBA09256EDB5EC_11</vt:lpwstr>
  </property>
  <property fmtid="{D5CDD505-2E9C-101B-9397-08002B2CF9AE}" pid="4" name="KSOTemplateDocerSaveRecord">
    <vt:lpwstr>eyJoZGlkIjoiZjAzMDQwNmQ4MDc2YTAxMWY4YWUxMzY0ZTAwZTFiNDciLCJ1c2VySWQiOiIzODgzNTA1NzkifQ==</vt:lpwstr>
  </property>
</Properties>
</file>