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宋体" w:hAnsi="宋体" w:eastAsia="宋体" w:cs="宋体"/>
          <w:b/>
          <w:bCs/>
          <w:color w:val="auto"/>
          <w:sz w:val="32"/>
          <w:szCs w:val="32"/>
          <w:lang w:val="en-US" w:eastAsia="zh-CN"/>
        </w:rPr>
      </w:pPr>
      <w:r>
        <w:rPr>
          <w:rFonts w:hint="eastAsia" w:ascii="宋体" w:hAnsi="宋体" w:cs="宋体"/>
          <w:b/>
          <w:bCs/>
          <w:color w:val="auto"/>
          <w:sz w:val="32"/>
          <w:szCs w:val="32"/>
          <w:lang w:val="en-US" w:eastAsia="zh-CN"/>
        </w:rPr>
        <w:t>合同文本</w:t>
      </w:r>
    </w:p>
    <w:p>
      <w:pPr>
        <w:kinsoku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甲方（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采购人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）：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                                          </w:t>
      </w:r>
    </w:p>
    <w:p>
      <w:pPr>
        <w:kinsoku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乙方（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成交供应商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）：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                                           </w:t>
      </w:r>
    </w:p>
    <w:p>
      <w:pPr>
        <w:kinsoku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根据《中华人民共和国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民法典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》等法律法规，甲方通过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cs="宋体"/>
          <w:color w:val="auto"/>
          <w:sz w:val="21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color w:val="auto"/>
          <w:sz w:val="21"/>
          <w:szCs w:val="21"/>
          <w:u w:val="single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方式，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选定乙方为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成交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供应商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。甲、乙双方在平等基础上协商一致，达成如下合同条款：</w:t>
      </w:r>
    </w:p>
    <w:p>
      <w:pPr>
        <w:kinsoku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一、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合同内容</w:t>
      </w:r>
    </w:p>
    <w:tbl>
      <w:tblPr>
        <w:tblStyle w:val="8"/>
        <w:tblW w:w="4998" w:type="pct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01"/>
        <w:gridCol w:w="1146"/>
        <w:gridCol w:w="1036"/>
        <w:gridCol w:w="967"/>
        <w:gridCol w:w="1215"/>
        <w:gridCol w:w="1230"/>
        <w:gridCol w:w="1461"/>
        <w:gridCol w:w="1096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7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序号</w:t>
            </w:r>
          </w:p>
        </w:tc>
        <w:tc>
          <w:tcPr>
            <w:tcW w:w="13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产品名称</w:t>
            </w:r>
          </w:p>
        </w:tc>
        <w:tc>
          <w:tcPr>
            <w:tcW w:w="11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lang w:val="en-US" w:eastAsia="zh-CN"/>
              </w:rPr>
              <w:t>生产厂商/品牌</w:t>
            </w:r>
          </w:p>
        </w:tc>
        <w:tc>
          <w:tcPr>
            <w:tcW w:w="11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lang w:val="en-US" w:eastAsia="zh-CN"/>
              </w:rPr>
              <w:t>规格</w:t>
            </w:r>
          </w:p>
        </w:tc>
        <w:tc>
          <w:tcPr>
            <w:tcW w:w="138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  <w:lang w:val="en-US" w:eastAsia="zh-CN"/>
              </w:rPr>
              <w:t>单位</w:t>
            </w:r>
          </w:p>
        </w:tc>
        <w:tc>
          <w:tcPr>
            <w:tcW w:w="14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数量</w:t>
            </w:r>
          </w:p>
        </w:tc>
        <w:tc>
          <w:tcPr>
            <w:tcW w:w="166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单价</w:t>
            </w:r>
          </w:p>
        </w:tc>
        <w:tc>
          <w:tcPr>
            <w:tcW w:w="125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1"/>
              </w:rPr>
              <w:t>总价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4"/>
              </w:rPr>
              <w:t>1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4"/>
              </w:rPr>
              <w:t>2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4"/>
              </w:rPr>
              <w:t>3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350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ind w:left="2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/>
                <w:color w:val="auto"/>
                <w:w w:val="115"/>
                <w:sz w:val="21"/>
                <w:szCs w:val="24"/>
              </w:rPr>
              <w:t>……</w:t>
            </w:r>
          </w:p>
        </w:tc>
        <w:tc>
          <w:tcPr>
            <w:tcW w:w="654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pStyle w:val="10"/>
              <w:keepNext w:val="0"/>
              <w:keepLines w:val="0"/>
              <w:pageBreakBefore w:val="0"/>
              <w:widowControl w:val="0"/>
              <w:kinsoku w:val="0"/>
              <w:wordWrap/>
              <w:overflowPunct w:val="0"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i/>
                <w:color w:val="auto"/>
                <w:w w:val="115"/>
                <w:sz w:val="21"/>
                <w:szCs w:val="24"/>
              </w:rPr>
              <w:t>……</w:t>
            </w:r>
          </w:p>
        </w:tc>
        <w:tc>
          <w:tcPr>
            <w:tcW w:w="592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55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93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70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831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  <w:tc>
          <w:tcPr>
            <w:tcW w:w="6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4374" w:type="pct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both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1"/>
                <w:szCs w:val="24"/>
                <w:lang w:val="en-US" w:eastAsia="zh-CN"/>
              </w:rPr>
              <w:t>总价：（大写）</w:t>
            </w:r>
          </w:p>
        </w:tc>
        <w:tc>
          <w:tcPr>
            <w:tcW w:w="625" w:type="pc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  <w:tl2br w:val="nil"/>
              <w:tr2bl w:val="nil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wordWrap/>
              <w:topLinePunct w:val="0"/>
              <w:autoSpaceDE w:val="0"/>
              <w:autoSpaceDN w:val="0"/>
              <w:bidi w:val="0"/>
              <w:adjustRightInd w:val="0"/>
              <w:snapToGrid/>
              <w:spacing w:line="240" w:lineRule="auto"/>
              <w:jc w:val="center"/>
              <w:textAlignment w:val="auto"/>
              <w:rPr>
                <w:rFonts w:hint="eastAsia" w:ascii="宋体" w:hAnsi="宋体" w:eastAsia="宋体" w:cs="宋体"/>
                <w:color w:val="auto"/>
                <w:sz w:val="24"/>
                <w:szCs w:val="24"/>
              </w:rPr>
            </w:pPr>
          </w:p>
        </w:tc>
      </w:tr>
    </w:tbl>
    <w:p>
      <w:pPr>
        <w:kinsoku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（参数附件说明）</w:t>
      </w:r>
    </w:p>
    <w:p>
      <w:pPr>
        <w:pStyle w:val="5"/>
        <w:rPr>
          <w:rFonts w:hint="eastAsia" w:ascii="宋体" w:hAnsi="宋体" w:eastAsia="宋体" w:cs="宋体"/>
          <w:color w:val="auto"/>
        </w:rPr>
      </w:pPr>
    </w:p>
    <w:p>
      <w:pPr>
        <w:kinsoku w:val="0"/>
        <w:spacing w:line="360" w:lineRule="auto"/>
        <w:ind w:right="-250" w:rightChars="-104" w:firstLine="525" w:firstLineChars="25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乙方负责按以上确定的产品规格、型号及配套内容进行供货，及时运到甲方指定交货地点，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并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做好售后服务工作。</w:t>
      </w:r>
    </w:p>
    <w:p>
      <w:pPr>
        <w:pStyle w:val="5"/>
        <w:spacing w:line="360" w:lineRule="auto"/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２、产品的技术标准（包括质量要求），生物有机肥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及生物质营养液均符合国家相关要求。</w:t>
      </w:r>
    </w:p>
    <w:p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二、合同价格</w:t>
      </w:r>
    </w:p>
    <w:p>
      <w:pPr>
        <w:pStyle w:val="6"/>
        <w:spacing w:line="360" w:lineRule="auto"/>
        <w:ind w:left="0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合同总价：人民币大写：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</w:t>
      </w:r>
      <w:r>
        <w:rPr>
          <w:rFonts w:hint="eastAsia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￥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元。</w:t>
      </w:r>
    </w:p>
    <w:p>
      <w:pPr>
        <w:kinsoku w:val="0"/>
        <w:spacing w:line="360" w:lineRule="auto"/>
        <w:ind w:right="-365" w:rightChars="-152" w:firstLine="420" w:firstLineChars="200"/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</w:pP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合同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价格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包括：所供货物、服务且验收合格的所有费用，包括出厂价、运杂费（含保险）、仓储保管费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（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val="en-US" w:eastAsia="zh-CN"/>
        </w:rPr>
        <w:t>如有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  <w:lang w:eastAsia="zh-CN"/>
        </w:rPr>
        <w:t>）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、人工费、利润、税费</w:t>
      </w:r>
      <w:r>
        <w:rPr>
          <w:rFonts w:hint="eastAsia" w:ascii="宋体" w:hAnsi="宋体" w:cs="宋体"/>
          <w:color w:val="auto"/>
          <w:sz w:val="21"/>
          <w:szCs w:val="21"/>
          <w:highlight w:val="none"/>
          <w:lang w:val="en-US" w:eastAsia="zh-CN"/>
        </w:rPr>
        <w:t>以及土壤采样（如有）、检测（如有）、肥料配比</w:t>
      </w:r>
      <w:r>
        <w:rPr>
          <w:rFonts w:hint="eastAsia" w:ascii="宋体" w:hAnsi="宋体" w:eastAsia="宋体" w:cs="宋体"/>
          <w:color w:val="auto"/>
          <w:sz w:val="21"/>
          <w:szCs w:val="21"/>
          <w:highlight w:val="none"/>
        </w:rPr>
        <w:t>等其他一切相关费用；包括从产品供应地点到交货地点，且使产品具备使用条件的一切费用。合同总价不可变更，不受市场价变化的影响，不受实际数量变化的影响。</w:t>
      </w:r>
    </w:p>
    <w:p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eastAsia="zh-CN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三、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货款</w:t>
      </w:r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  <w:lang w:val="en-US" w:eastAsia="zh-CN"/>
        </w:rPr>
        <w:t>支付</w:t>
      </w:r>
    </w:p>
    <w:p>
      <w:pPr>
        <w:snapToGrid w:val="0"/>
        <w:spacing w:line="360" w:lineRule="auto"/>
        <w:ind w:left="480" w:leftChars="200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</w:p>
    <w:p>
      <w:pPr>
        <w:snapToGrid w:val="0"/>
        <w:spacing w:line="360" w:lineRule="auto"/>
        <w:ind w:left="480" w:leftChars="200"/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</w:pPr>
      <w:bookmarkStart w:id="3" w:name="_GoBack"/>
      <w:bookmarkEnd w:id="3"/>
      <w:r>
        <w:rPr>
          <w:rFonts w:hint="eastAsia" w:ascii="宋体" w:hAnsi="宋体" w:eastAsia="宋体" w:cs="宋体"/>
          <w:b/>
          <w:color w:val="auto"/>
          <w:sz w:val="21"/>
          <w:szCs w:val="21"/>
          <w:highlight w:val="none"/>
        </w:rPr>
        <w:t>四、交货条件</w:t>
      </w:r>
    </w:p>
    <w:p>
      <w:pPr>
        <w:kinsoku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1、交货地点：甲方指定地点</w:t>
      </w:r>
    </w:p>
    <w:p>
      <w:pPr>
        <w:kinsoku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2、交货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期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：</w:t>
      </w:r>
      <w:r>
        <w:rPr>
          <w:rFonts w:hint="eastAsia" w:ascii="宋体" w:hAnsi="宋体" w:cs="宋体"/>
          <w:color w:val="auto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cs="宋体"/>
          <w:color w:val="auto"/>
          <w:sz w:val="21"/>
          <w:szCs w:val="21"/>
          <w:u w:val="none"/>
          <w:lang w:val="en-US" w:eastAsia="zh-CN"/>
        </w:rPr>
        <w:t>日历天。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具体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交货开始时间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以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采购人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要求为准，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但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不影响其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总交货期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</w:p>
    <w:p>
      <w:pPr>
        <w:spacing w:line="360" w:lineRule="auto"/>
        <w:rPr>
          <w:rFonts w:hint="default" w:ascii="宋体" w:hAnsi="宋体" w:eastAsia="宋体" w:cs="宋体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3、质保期：</w:t>
      </w:r>
      <w:r>
        <w:rPr>
          <w:rFonts w:hint="eastAsia" w:ascii="宋体" w:hAnsi="宋体" w:cs="宋体"/>
          <w:color w:val="auto"/>
          <w:sz w:val="21"/>
          <w:szCs w:val="21"/>
          <w:u w:val="single"/>
          <w:lang w:val="en-US" w:eastAsia="zh-CN"/>
        </w:rPr>
        <w:t xml:space="preserve">           </w:t>
      </w:r>
    </w:p>
    <w:p>
      <w:pPr>
        <w:spacing w:line="360" w:lineRule="auto"/>
        <w:ind w:firstLine="422" w:firstLineChars="200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五、运输方式：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根据产品特性，由乙方在保证产品质量的前提下，自行选择运输及包装方式，发生的一切费用全部由乙方承担。</w:t>
      </w:r>
    </w:p>
    <w:p>
      <w:pPr>
        <w:snapToGrid w:val="0"/>
        <w:spacing w:line="360" w:lineRule="auto"/>
        <w:ind w:firstLine="422" w:firstLineChars="200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六、质量保证</w:t>
      </w: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1、乙方保证所提供的产品质量可靠，进货渠道正常，配置合理，技术性能完全满足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招标文件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要求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。</w:t>
      </w: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2、若产品所用原材料或加工工艺造成的质量缺陷问题，由乙方负责解决并承担费用。产品质量应符合国标标准和本合同要求,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成交供应商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应随</w:t>
      </w: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产品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提供产品检验报告。</w:t>
      </w: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3、产品性能未达到技术要求的，乙方限期内进行整改；整改仍达不到要求的，甲方有权解除合同，保留依法索赔的权利。</w:t>
      </w: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4、质保期内若发生产品质量问题，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应立即免费解决；否则，甲方有权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要求乙方按照发生质量问题的产品总价款赔偿损失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。</w:t>
      </w:r>
    </w:p>
    <w:p>
      <w:pPr>
        <w:tabs>
          <w:tab w:val="left" w:pos="5355"/>
        </w:tabs>
        <w:spacing w:line="360" w:lineRule="auto"/>
        <w:ind w:firstLine="443" w:firstLineChars="210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lang w:val="en-US" w:eastAsia="zh-CN"/>
        </w:rPr>
        <w:t>七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、违约责任：</w:t>
      </w: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1、按《中华人民共和国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民法典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》中的相关条款执行。</w:t>
      </w:r>
    </w:p>
    <w:p>
      <w:pPr>
        <w:spacing w:line="360" w:lineRule="auto"/>
        <w:ind w:firstLine="420" w:firstLineChars="200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2、</w:t>
      </w: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乙方所供产品有触犯第三方专利使用权的，由乙方自行解决，甲方不承担因此产生的连带责任。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3、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未按合同要求提供产品或产品质量不能满足合同约定的技术要求，甲方有权终止合同，乙方须无条件全额退回甲方已付给乙方的货款，并向甲方支付合同总价款百分之十的违约金。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甲方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保留追究乙方违约责任的权利。</w:t>
      </w:r>
    </w:p>
    <w:p>
      <w:pPr>
        <w:snapToGrid w:val="0"/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cs="宋体"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、时间迟延的，违约方按照每天1‰向对方承担违约责任，延迟30天以上，甲方有权解除合同。产品质量问题违约的，除了按照迟延时间计算违约金外，另可以采取退货、换货等方式，由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乙方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承担一切费用。</w:t>
      </w:r>
    </w:p>
    <w:p>
      <w:pPr>
        <w:spacing w:line="360" w:lineRule="auto"/>
        <w:ind w:firstLine="532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八、产品验收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snapToGrid w:val="0"/>
          <w:color w:val="auto"/>
          <w:sz w:val="21"/>
          <w:szCs w:val="21"/>
        </w:rPr>
        <w:t>1、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甲方根据合同要求对产品进行验收、确认产品的产地、规格、型号和数量。验收依据为本合同文本、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响应文件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和国内相应的标准、规范。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3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、</w:t>
      </w:r>
      <w:bookmarkStart w:id="0" w:name="OLE_LINK7"/>
      <w:bookmarkStart w:id="1" w:name="OLE_LINK6"/>
      <w:bookmarkStart w:id="2" w:name="OLE_LINK5"/>
      <w:r>
        <w:rPr>
          <w:rFonts w:hint="eastAsia" w:ascii="宋体" w:hAnsi="宋体" w:eastAsia="宋体" w:cs="宋体"/>
          <w:color w:val="auto"/>
          <w:sz w:val="21"/>
          <w:szCs w:val="21"/>
        </w:rPr>
        <w:t>验收合格后，填写产品验收单</w:t>
      </w:r>
      <w:bookmarkEnd w:id="0"/>
      <w:bookmarkEnd w:id="1"/>
      <w:bookmarkEnd w:id="2"/>
      <w:r>
        <w:rPr>
          <w:rFonts w:hint="eastAsia" w:ascii="宋体" w:hAnsi="宋体" w:eastAsia="宋体" w:cs="宋体"/>
          <w:color w:val="auto"/>
          <w:sz w:val="21"/>
          <w:szCs w:val="21"/>
        </w:rPr>
        <w:t>，并向甲方提交产品所包含的所有资料，以便使用单位日后管理和维护。</w:t>
      </w:r>
    </w:p>
    <w:p>
      <w:pPr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  <w:lang w:val="en-US" w:eastAsia="zh-CN"/>
        </w:rPr>
        <w:t>4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、如因货物的质量问题发生争议，由甲方属地技术质量监督部门进行质量鉴定；货物符合质量标准的，鉴定费由甲方承担；货物不符合质量标准的，鉴定费由乙方承担。</w:t>
      </w:r>
    </w:p>
    <w:p>
      <w:pPr>
        <w:tabs>
          <w:tab w:val="left" w:pos="5355"/>
        </w:tabs>
        <w:spacing w:line="360" w:lineRule="auto"/>
        <w:ind w:firstLine="422" w:firstLineChars="200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cs="宋体"/>
          <w:b/>
          <w:color w:val="auto"/>
          <w:sz w:val="21"/>
          <w:szCs w:val="21"/>
          <w:lang w:val="en-US" w:eastAsia="zh-CN"/>
        </w:rPr>
        <w:t>九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、合同争议的解决</w:t>
      </w:r>
    </w:p>
    <w:p>
      <w:pPr>
        <w:tabs>
          <w:tab w:val="left" w:pos="5355"/>
        </w:tabs>
        <w:spacing w:line="360" w:lineRule="auto"/>
        <w:ind w:firstLine="420" w:firstLineChars="20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合同执行中发生争议的，甲、乙双方应协商解决，协商达不成一致时，可向甲方所在地人民法院提起诉讼。</w:t>
      </w:r>
    </w:p>
    <w:p>
      <w:pPr>
        <w:tabs>
          <w:tab w:val="left" w:pos="5355"/>
        </w:tabs>
        <w:spacing w:line="360" w:lineRule="auto"/>
        <w:ind w:firstLine="422" w:firstLineChars="200"/>
        <w:rPr>
          <w:rFonts w:hint="eastAsia" w:ascii="宋体" w:hAnsi="宋体" w:eastAsia="宋体" w:cs="宋体"/>
          <w:b/>
          <w:color w:val="auto"/>
          <w:sz w:val="21"/>
          <w:szCs w:val="21"/>
        </w:rPr>
      </w:pPr>
      <w:r>
        <w:rPr>
          <w:rFonts w:hint="eastAsia" w:ascii="宋体" w:hAnsi="宋体" w:eastAsia="宋体" w:cs="宋体"/>
          <w:b/>
          <w:color w:val="auto"/>
          <w:sz w:val="21"/>
          <w:szCs w:val="21"/>
          <w:lang w:eastAsia="zh-CN"/>
        </w:rPr>
        <w:t>十</w:t>
      </w:r>
      <w:r>
        <w:rPr>
          <w:rFonts w:hint="eastAsia" w:ascii="宋体" w:hAnsi="宋体" w:eastAsia="宋体" w:cs="宋体"/>
          <w:b/>
          <w:color w:val="auto"/>
          <w:sz w:val="21"/>
          <w:szCs w:val="21"/>
        </w:rPr>
        <w:t>、其它事项</w:t>
      </w:r>
    </w:p>
    <w:p>
      <w:pPr>
        <w:snapToGrid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1、甲、乙双方做为合同执行的主体，有义务及时完全履行合同。</w:t>
      </w:r>
    </w:p>
    <w:p>
      <w:pPr>
        <w:snapToGrid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2、甲方使用部门代表签署合同，并随时监督合同履行情况。</w:t>
      </w:r>
    </w:p>
    <w:p>
      <w:pPr>
        <w:snapToGrid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3、合同未尽事宜，由甲、乙双方协商，协商方案作为本合同不可分割的组成部分，与本合同具有同等法律效力。</w:t>
      </w:r>
    </w:p>
    <w:p>
      <w:pPr>
        <w:snapToGrid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4、</w:t>
      </w:r>
      <w:r>
        <w:rPr>
          <w:rFonts w:hint="eastAsia" w:ascii="宋体" w:hAnsi="宋体" w:cs="宋体"/>
          <w:color w:val="auto"/>
          <w:sz w:val="21"/>
          <w:szCs w:val="21"/>
          <w:lang w:eastAsia="zh-CN"/>
        </w:rPr>
        <w:t>招标文件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和乙方的</w:t>
      </w:r>
      <w:r>
        <w:rPr>
          <w:rFonts w:hint="eastAsia" w:ascii="宋体" w:hAnsi="宋体" w:eastAsia="宋体" w:cs="宋体"/>
          <w:color w:val="auto"/>
          <w:sz w:val="21"/>
          <w:szCs w:val="21"/>
          <w:lang w:eastAsia="zh-CN"/>
        </w:rPr>
        <w:t>响应文件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以及合同附件均为合同不可分割的部分。</w:t>
      </w:r>
    </w:p>
    <w:p>
      <w:pPr>
        <w:snapToGrid w:val="0"/>
        <w:spacing w:line="360" w:lineRule="auto"/>
        <w:ind w:firstLine="525" w:firstLineChars="250"/>
        <w:rPr>
          <w:rFonts w:hint="eastAsia" w:ascii="宋体" w:hAnsi="宋体" w:eastAsia="宋体" w:cs="宋体"/>
          <w:color w:val="auto"/>
          <w:sz w:val="21"/>
          <w:szCs w:val="21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5、合同一式</w:t>
      </w:r>
      <w:r>
        <w:rPr>
          <w:rFonts w:hint="eastAsia" w:ascii="宋体" w:hAnsi="宋体" w:cs="宋体"/>
          <w:color w:val="auto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份，甲方持</w:t>
      </w:r>
      <w:r>
        <w:rPr>
          <w:rFonts w:hint="eastAsia" w:ascii="宋体" w:hAnsi="宋体" w:cs="宋体"/>
          <w:color w:val="auto"/>
          <w:sz w:val="21"/>
          <w:szCs w:val="21"/>
          <w:u w:val="single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份、乙方执</w:t>
      </w:r>
      <w:r>
        <w:rPr>
          <w:rFonts w:hint="eastAsia" w:ascii="宋体" w:hAnsi="宋体" w:cs="宋体"/>
          <w:color w:val="auto"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color w:val="auto"/>
          <w:sz w:val="21"/>
          <w:szCs w:val="21"/>
        </w:rPr>
        <w:t>份。双方签字盖章后生效，合同执行完毕自动失效。（合同的服务承诺长期有效）。</w:t>
      </w:r>
    </w:p>
    <w:p>
      <w:pPr>
        <w:tabs>
          <w:tab w:val="left" w:pos="5355"/>
        </w:tabs>
        <w:spacing w:line="360" w:lineRule="auto"/>
        <w:ind w:firstLine="480"/>
        <w:rPr>
          <w:rFonts w:hint="default" w:ascii="宋体" w:hAnsi="宋体" w:eastAsia="宋体" w:cs="宋体"/>
          <w:color w:val="auto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color w:val="auto"/>
          <w:sz w:val="21"/>
          <w:szCs w:val="21"/>
        </w:rPr>
        <w:t>6、使用单位收货、验货人员：电话：</w:t>
      </w:r>
      <w:r>
        <w:rPr>
          <w:rFonts w:hint="eastAsia" w:ascii="宋体" w:hAnsi="宋体" w:cs="宋体"/>
          <w:color w:val="auto"/>
          <w:sz w:val="21"/>
          <w:szCs w:val="21"/>
          <w:u w:val="single"/>
          <w:lang w:val="en-US" w:eastAsia="zh-CN"/>
        </w:rPr>
        <w:t xml:space="preserve">                    </w:t>
      </w:r>
    </w:p>
    <w:tbl>
      <w:tblPr>
        <w:tblStyle w:val="8"/>
        <w:tblpPr w:leftFromText="180" w:rightFromText="180" w:vertAnchor="text" w:horzAnchor="page" w:tblpXSpec="center" w:tblpY="525"/>
        <w:tblOverlap w:val="never"/>
        <w:tblW w:w="4999" w:type="pct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16"/>
        <w:gridCol w:w="4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甲方（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采购人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）：</w:t>
            </w:r>
          </w:p>
        </w:tc>
        <w:tc>
          <w:tcPr>
            <w:tcW w:w="24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乙方（</w:t>
            </w:r>
            <w:r>
              <w:rPr>
                <w:rFonts w:hint="eastAsia" w:ascii="宋体" w:hAnsi="宋体" w:cs="宋体"/>
                <w:color w:val="auto"/>
                <w:sz w:val="21"/>
                <w:szCs w:val="21"/>
                <w:lang w:eastAsia="zh-CN"/>
              </w:rPr>
              <w:t>成交供应商</w:t>
            </w: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）：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地　址：</w:t>
            </w:r>
          </w:p>
        </w:tc>
        <w:tc>
          <w:tcPr>
            <w:tcW w:w="24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地　址：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代理人：　</w:t>
            </w:r>
          </w:p>
        </w:tc>
        <w:tc>
          <w:tcPr>
            <w:tcW w:w="24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5355"/>
              </w:tabs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代理人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联系电话：</w:t>
            </w:r>
          </w:p>
        </w:tc>
        <w:tc>
          <w:tcPr>
            <w:tcW w:w="24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联系电话：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开户行：</w:t>
            </w:r>
          </w:p>
        </w:tc>
        <w:tc>
          <w:tcPr>
            <w:tcW w:w="24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5355"/>
              </w:tabs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开户行：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账号：</w:t>
            </w:r>
          </w:p>
        </w:tc>
        <w:tc>
          <w:tcPr>
            <w:tcW w:w="24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tabs>
                <w:tab w:val="left" w:pos="5355"/>
              </w:tabs>
              <w:spacing w:line="500" w:lineRule="exact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账号：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2550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日期：年  月   日</w:t>
            </w:r>
          </w:p>
        </w:tc>
        <w:tc>
          <w:tcPr>
            <w:tcW w:w="2449" w:type="pc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  <w:tl2br w:val="nil"/>
              <w:tr2bl w:val="nil"/>
            </w:tcBorders>
            <w:noWrap w:val="0"/>
            <w:vAlign w:val="center"/>
          </w:tcPr>
          <w:p>
            <w:pPr>
              <w:spacing w:line="348" w:lineRule="auto"/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  <w:color w:val="auto"/>
                <w:sz w:val="21"/>
                <w:szCs w:val="21"/>
              </w:rPr>
              <w:t>日期： 年  月  日</w:t>
            </w:r>
          </w:p>
        </w:tc>
      </w:tr>
    </w:tbl>
    <w:p/>
    <w:sectPr>
      <w:footerReference r:id="rId3" w:type="default"/>
      <w:pgSz w:w="11906" w:h="16838"/>
      <w:pgMar w:top="1440" w:right="146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kinsoku w:val="0"/>
      <w:overflowPunct w:val="0"/>
      <w:spacing w:line="14" w:lineRule="auto"/>
      <w:ind w:left="0"/>
      <w:rPr>
        <w:rFonts w:hint="default"/>
        <w:sz w:val="20"/>
        <w:szCs w:val="24"/>
      </w:rPr>
    </w:pPr>
    <w:r>
      <w:rPr>
        <w:rFonts w:hint="default"/>
        <w:sz w:val="20"/>
        <w:szCs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2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  <w:rPr>
                              <w:rFonts w:hint="default" w:ascii="宋体" w:hAnsi="Times New Roman" w:eastAsia="宋体"/>
                              <w:sz w:val="18"/>
                              <w:szCs w:val="24"/>
                              <w:lang w:eastAsia="zh-CN"/>
                            </w:rPr>
                          </w:pPr>
                          <w:r>
                            <w:rPr>
                              <w:rFonts w:hint="default"/>
                              <w:sz w:val="18"/>
                              <w:szCs w:val="24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default"/>
                              <w:sz w:val="18"/>
                              <w:szCs w:val="24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default"/>
                              <w:sz w:val="18"/>
                              <w:szCs w:val="24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default"/>
                              <w:sz w:val="18"/>
                              <w:szCs w:val="24"/>
                              <w:lang w:eastAsia="zh-CN"/>
                            </w:rPr>
                            <w:t>31</w:t>
                          </w:r>
                          <w:r>
                            <w:rPr>
                              <w:rFonts w:hint="default"/>
                              <w:sz w:val="18"/>
                              <w:szCs w:val="24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vert="horz" wrap="none" lIns="0" tIns="0" rIns="0" bIns="0" anchor="t" anchorCtr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22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  <w:rPr>
                        <w:rFonts w:hint="default" w:ascii="宋体" w:hAnsi="Times New Roman" w:eastAsia="宋体"/>
                        <w:sz w:val="18"/>
                        <w:szCs w:val="24"/>
                        <w:lang w:eastAsia="zh-CN"/>
                      </w:rPr>
                    </w:pPr>
                    <w:r>
                      <w:rPr>
                        <w:rFonts w:hint="default"/>
                        <w:sz w:val="18"/>
                        <w:szCs w:val="24"/>
                        <w:lang w:eastAsia="zh-CN"/>
                      </w:rPr>
                      <w:fldChar w:fldCharType="begin"/>
                    </w:r>
                    <w:r>
                      <w:rPr>
                        <w:rFonts w:hint="default"/>
                        <w:sz w:val="18"/>
                        <w:szCs w:val="24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default"/>
                        <w:sz w:val="18"/>
                        <w:szCs w:val="24"/>
                        <w:lang w:eastAsia="zh-CN"/>
                      </w:rPr>
                      <w:fldChar w:fldCharType="separate"/>
                    </w:r>
                    <w:r>
                      <w:rPr>
                        <w:rFonts w:hint="default"/>
                        <w:sz w:val="18"/>
                        <w:szCs w:val="24"/>
                        <w:lang w:eastAsia="zh-CN"/>
                      </w:rPr>
                      <w:t>31</w:t>
                    </w:r>
                    <w:r>
                      <w:rPr>
                        <w:rFonts w:hint="default"/>
                        <w:sz w:val="18"/>
                        <w:szCs w:val="24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MzFlYTA0Mjk3MWZiY2Y2ZmM4MGY3MWZlZThmZDYifQ=="/>
  </w:docVars>
  <w:rsids>
    <w:rsidRoot w:val="7098300F"/>
    <w:rsid w:val="10985343"/>
    <w:rsid w:val="384D3FEE"/>
    <w:rsid w:val="3B7844CB"/>
    <w:rsid w:val="47E50732"/>
    <w:rsid w:val="5AB04BD0"/>
    <w:rsid w:val="7098300F"/>
    <w:rsid w:val="768B2A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iPriority="1" w:semiHidden="0" w:name="Normal"/>
    <w:lsdException w:qFormat="1" w:uiPriority="1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qFormat="1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nhideWhenUsed/>
    <w:qFormat/>
    <w:uiPriority w:val="1"/>
    <w:pPr>
      <w:widowControl w:val="0"/>
      <w:autoSpaceDE w:val="0"/>
      <w:autoSpaceDN w:val="0"/>
      <w:adjustRightInd w:val="0"/>
    </w:pPr>
    <w:rPr>
      <w:rFonts w:hint="default" w:ascii="Times New Roman" w:hAnsi="Times New Roman" w:eastAsia="宋体" w:cs="Times New Roman"/>
      <w:sz w:val="24"/>
      <w:szCs w:val="24"/>
    </w:rPr>
  </w:style>
  <w:style w:type="paragraph" w:styleId="3">
    <w:name w:val="heading 1"/>
    <w:basedOn w:val="1"/>
    <w:next w:val="1"/>
    <w:unhideWhenUsed/>
    <w:qFormat/>
    <w:uiPriority w:val="1"/>
    <w:pPr>
      <w:ind w:left="3"/>
      <w:jc w:val="center"/>
      <w:outlineLvl w:val="0"/>
    </w:pPr>
    <w:rPr>
      <w:rFonts w:hint="default" w:ascii="宋体" w:hAnsi="宋体" w:eastAsia="宋体"/>
      <w:b/>
      <w:sz w:val="32"/>
      <w:szCs w:val="24"/>
    </w:rPr>
  </w:style>
  <w:style w:type="paragraph" w:styleId="4">
    <w:name w:val="heading 3"/>
    <w:basedOn w:val="1"/>
    <w:next w:val="1"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9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List 2"/>
    <w:basedOn w:val="1"/>
    <w:unhideWhenUsed/>
    <w:qFormat/>
    <w:uiPriority w:val="0"/>
    <w:pPr>
      <w:ind w:left="100" w:leftChars="200" w:hanging="200" w:hangingChars="200"/>
    </w:pPr>
    <w:rPr>
      <w:rFonts w:hint="default"/>
      <w:sz w:val="24"/>
      <w:szCs w:val="24"/>
    </w:rPr>
  </w:style>
  <w:style w:type="paragraph" w:styleId="5">
    <w:name w:val="Normal Indent"/>
    <w:basedOn w:val="1"/>
    <w:autoRedefine/>
    <w:unhideWhenUsed/>
    <w:qFormat/>
    <w:uiPriority w:val="0"/>
    <w:pPr>
      <w:ind w:firstLine="420" w:firstLineChars="200"/>
    </w:pPr>
    <w:rPr>
      <w:rFonts w:hint="default" w:ascii="Calibri" w:hAnsi="Calibri" w:eastAsia="宋体"/>
      <w:sz w:val="24"/>
      <w:szCs w:val="24"/>
    </w:rPr>
  </w:style>
  <w:style w:type="paragraph" w:styleId="6">
    <w:name w:val="Body Text"/>
    <w:basedOn w:val="1"/>
    <w:next w:val="1"/>
    <w:unhideWhenUsed/>
    <w:qFormat/>
    <w:uiPriority w:val="1"/>
    <w:pPr>
      <w:ind w:left="520"/>
    </w:pPr>
    <w:rPr>
      <w:rFonts w:hint="default" w:ascii="宋体" w:hAnsi="宋体" w:eastAsia="宋体"/>
      <w:sz w:val="21"/>
      <w:szCs w:val="24"/>
    </w:rPr>
  </w:style>
  <w:style w:type="paragraph" w:styleId="7">
    <w:name w:val="footer"/>
    <w:basedOn w:val="1"/>
    <w:autoRedefine/>
    <w:unhideWhenUsed/>
    <w:qFormat/>
    <w:uiPriority w:val="99"/>
    <w:pPr>
      <w:tabs>
        <w:tab w:val="center" w:pos="4153"/>
        <w:tab w:val="right" w:pos="8306"/>
      </w:tabs>
      <w:snapToGrid w:val="0"/>
    </w:pPr>
    <w:rPr>
      <w:rFonts w:hint="default"/>
      <w:sz w:val="18"/>
      <w:szCs w:val="24"/>
    </w:rPr>
  </w:style>
  <w:style w:type="paragraph" w:customStyle="1" w:styleId="10">
    <w:name w:val="Table Paragraph"/>
    <w:basedOn w:val="1"/>
    <w:autoRedefine/>
    <w:unhideWhenUsed/>
    <w:qFormat/>
    <w:uiPriority w:val="1"/>
    <w:rPr>
      <w:rFonts w:hint="default"/>
      <w:sz w:val="24"/>
      <w:szCs w:val="24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25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2024-03-25T07:42:00Z</dcterms:created>
  <dc:creator>朱娟</dc:creator>
  <cp:lastModifiedBy>今日我可笑命运</cp:lastModifiedBy>
  <dcterms:modified xsi:type="dcterms:W3CDTF">2025-05-20T09:15:02Z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88A4DCEE2C8146B481C57C5CF58E5CBF_11</vt:lpwstr>
  </property>
</Properties>
</file>