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版本号：XXLTZB-202600120260130003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铜川市王益区2026年春节氛围营造工程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XXLTZB-2026001</w:t>
      </w:r>
      <w:r>
        <w:br/>
      </w:r>
      <w:r>
        <w:br/>
      </w:r>
      <w:r>
        <w:br/>
      </w:r>
    </w:p>
    <w:p>
      <w:pPr>
        <w:pStyle w:val="null3"/>
        <w:jc w:val="center"/>
        <w:outlineLvl w:val="2"/>
      </w:pPr>
      <w:r>
        <w:rPr>
          <w:rFonts w:ascii="仿宋_GB2312" w:hAnsi="仿宋_GB2312" w:cs="仿宋_GB2312" w:eastAsia="仿宋_GB2312"/>
          <w:sz w:val="28"/>
          <w:b/>
        </w:rPr>
        <w:t>铜川市王益区市政园林工程管理所</w:t>
      </w:r>
    </w:p>
    <w:p>
      <w:pPr>
        <w:pStyle w:val="null3"/>
        <w:jc w:val="center"/>
        <w:outlineLvl w:val="2"/>
      </w:pPr>
      <w:r>
        <w:rPr>
          <w:rFonts w:ascii="仿宋_GB2312" w:hAnsi="仿宋_GB2312" w:cs="仿宋_GB2312" w:eastAsia="仿宋_GB2312"/>
          <w:sz w:val="28"/>
          <w:b/>
        </w:rPr>
        <w:t>陕西象限蓝图项目管理有限公司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陕西象限蓝图项目管理有限公司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铜川市王益区市政园林工程管理所</w:t>
      </w:r>
      <w:r>
        <w:rPr>
          <w:rFonts w:ascii="仿宋_GB2312" w:hAnsi="仿宋_GB2312" w:cs="仿宋_GB2312" w:eastAsia="仿宋_GB2312"/>
        </w:rPr>
        <w:t>委托，拟对</w:t>
      </w:r>
      <w:r>
        <w:rPr>
          <w:rFonts w:ascii="仿宋_GB2312" w:hAnsi="仿宋_GB2312" w:cs="仿宋_GB2312" w:eastAsia="仿宋_GB2312"/>
        </w:rPr>
        <w:t>铜川市王益区2026年春节氛围营造工程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XXLTZB-2026001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铜川市王益区2026年春节氛围营造工程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在王益区政府广场、火车站广场、1958广场、人民公园布置灯组造型，周围摆放鲜花，红旗街中心地段、高速转盘、公园路行道树悬挂灯笼、灯饰挂件、满天星等进行装扮，营造浓厚的节日气氛。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采购包1（铜川市王益区2026年春节氛围营造工程）：属于专门面向中小企业采购。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身份证明或法定代表人授权委托书：法定代表人直接参加磋商的，须出具《法定代表人身份证明》；法定代表人授权代表参加磋商的，须出具《法定代表人授权委托书》。分支机构参与磋商时，响应文件中应附法人出具的授权书。法人只能授权一家分支机构参与磋商，且不能与分支机构同时参与磋商。</w:t>
      </w:r>
    </w:p>
    <w:p>
      <w:pPr>
        <w:pStyle w:val="null3"/>
      </w:pPr>
      <w:r>
        <w:rPr>
          <w:rFonts w:ascii="仿宋_GB2312" w:hAnsi="仿宋_GB2312" w:cs="仿宋_GB2312" w:eastAsia="仿宋_GB2312"/>
        </w:rPr>
        <w:t>3、资质要求：供应商须提供由建设行政主管部门颁发的市政公用工程施工总承包三级及以上资质证书，且具有合格有效的安全生产许可证。</w:t>
      </w:r>
    </w:p>
    <w:p>
      <w:pPr>
        <w:pStyle w:val="null3"/>
      </w:pPr>
      <w:r>
        <w:rPr>
          <w:rFonts w:ascii="仿宋_GB2312" w:hAnsi="仿宋_GB2312" w:cs="仿宋_GB2312" w:eastAsia="仿宋_GB2312"/>
        </w:rPr>
        <w:t>4、拟派项目负责人资质或专业要求：供应商拟委派的项目经理须具有市政公用工程专业贰级及以上注册建造师资质并持有安全生产考核合格证（建安B证），项目经理需在本单位注册，且无其他在建工程（提供无在建承诺）。</w:t>
      </w:r>
    </w:p>
    <w:p>
      <w:pPr>
        <w:pStyle w:val="null3"/>
      </w:pPr>
      <w:r>
        <w:rPr>
          <w:rFonts w:ascii="仿宋_GB2312" w:hAnsi="仿宋_GB2312" w:cs="仿宋_GB2312" w:eastAsia="仿宋_GB2312"/>
        </w:rPr>
        <w:t>5、财务状况报告：提供2024年度的赋码财务审计报告（成立时间至提交响应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w:t>
      </w:r>
    </w:p>
    <w:p>
      <w:pPr>
        <w:pStyle w:val="null3"/>
      </w:pPr>
      <w:r>
        <w:rPr>
          <w:rFonts w:ascii="仿宋_GB2312" w:hAnsi="仿宋_GB2312" w:cs="仿宋_GB2312" w:eastAsia="仿宋_GB2312"/>
        </w:rPr>
        <w:t>6、税收缴纳证明：提供投标截止日前近一年内已缴纳的至少一个月的纳税证明或完税证明，纳税证明或完税证明上应有代收机构或税务机关的公章或业务专用章。依法免税或无须缴纳税收的供应商应提供相应证明文件。</w:t>
      </w:r>
    </w:p>
    <w:p>
      <w:pPr>
        <w:pStyle w:val="null3"/>
      </w:pPr>
      <w:r>
        <w:rPr>
          <w:rFonts w:ascii="仿宋_GB2312" w:hAnsi="仿宋_GB2312" w:cs="仿宋_GB2312" w:eastAsia="仿宋_GB2312"/>
        </w:rPr>
        <w:t>7、社会保险参保缴费情况证明：提供投标截止日前近一年内已缴存的至少一个月的社会保障资金缴存单据或由社保机构开具的社会保险参保缴费情况证明。依法不需要缴纳社会保障资金的单位应提供相关证明材料。</w:t>
      </w:r>
    </w:p>
    <w:p>
      <w:pPr>
        <w:pStyle w:val="null3"/>
      </w:pPr>
      <w:r>
        <w:rPr>
          <w:rFonts w:ascii="仿宋_GB2312" w:hAnsi="仿宋_GB2312" w:cs="仿宋_GB2312" w:eastAsia="仿宋_GB2312"/>
        </w:rPr>
        <w:t>8、具有良好的商业信誉：供应商不得在“中国执行信息公开网（http://zxgk.court.gov.cn/）”被列为失信被执行人；不得在“信用中国”（www.creditchina.gov.cn）被列入严重失信主体名单和重大税收违法失信主体；不得在“中国政府采购网”（www.ccgp.gov.cn）被列入政府采购严重违法失信行为记录名单。</w:t>
      </w:r>
    </w:p>
    <w:p>
      <w:pPr>
        <w:pStyle w:val="null3"/>
      </w:pPr>
      <w:r>
        <w:rPr>
          <w:rFonts w:ascii="仿宋_GB2312" w:hAnsi="仿宋_GB2312" w:cs="仿宋_GB2312" w:eastAsia="仿宋_GB2312"/>
        </w:rPr>
        <w:t>9、具有履行合同所必需的设备和专业技术能力：提供具有履行合同所必需的设备和专业技术能力的证明材料或书面声明。</w:t>
      </w:r>
    </w:p>
    <w:p>
      <w:pPr>
        <w:pStyle w:val="null3"/>
      </w:pPr>
      <w:r>
        <w:rPr>
          <w:rFonts w:ascii="仿宋_GB2312" w:hAnsi="仿宋_GB2312" w:cs="仿宋_GB2312" w:eastAsia="仿宋_GB2312"/>
        </w:rPr>
        <w:t>10、无重大违法记录书面声明：提供参加本次政府采购活动前三年内，在经营活动中没有重大违法记录的书面声明。</w:t>
      </w:r>
    </w:p>
    <w:p>
      <w:pPr>
        <w:pStyle w:val="null3"/>
      </w:pPr>
      <w:r>
        <w:rPr>
          <w:rFonts w:ascii="仿宋_GB2312" w:hAnsi="仿宋_GB2312" w:cs="仿宋_GB2312" w:eastAsia="仿宋_GB2312"/>
        </w:rPr>
        <w:t>11、控股管理关系：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pPr>
      <w:r>
        <w:rPr>
          <w:rFonts w:ascii="仿宋_GB2312" w:hAnsi="仿宋_GB2312" w:cs="仿宋_GB2312" w:eastAsia="仿宋_GB2312"/>
        </w:rPr>
        <w:t>12、非联合体磋商：本项目不接受联合体磋商，供应商提供《非联合体承诺函》。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铜川市王益区市政园林工程管理所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铜川市体育路33号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宋所长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0919-2385630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陕西象限蓝图项目管理有限公司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陕西省铜川市新区开元路中央公元3号楼20209</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18189276056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采购包1：1,189,886.13元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账户名称：陕西象限蓝图项目管理有限公司 开户银行：中国工商银行股份有限公司铜川长虹路支行 账号：2602012409200219610）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铜川市王益区市政园林工程管理所</w:t>
      </w:r>
      <w:r>
        <w:rPr>
          <w:rFonts w:ascii="仿宋_GB2312" w:hAnsi="仿宋_GB2312" w:cs="仿宋_GB2312" w:eastAsia="仿宋_GB2312"/>
        </w:rPr>
        <w:t>和</w:t>
      </w:r>
      <w:r>
        <w:rPr>
          <w:rFonts w:ascii="仿宋_GB2312" w:hAnsi="仿宋_GB2312" w:cs="仿宋_GB2312" w:eastAsia="仿宋_GB2312"/>
        </w:rPr>
        <w:t>陕西象限蓝图项目管理有限公司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铜川市王益区市政园林工程管理所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陕西象限蓝图项目管理有限公司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铜川市王益区市政园林工程管理所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陕西象限蓝图项目管理有限公司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质量必须达到国家及行业现行技术规范标准，符合国家及行业验收规范合格标准，并满足采购人要求。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联系人：高妮</w:t>
      </w:r>
    </w:p>
    <w:p>
      <w:pPr>
        <w:pStyle w:val="null3"/>
      </w:pPr>
      <w:r>
        <w:rPr>
          <w:rFonts w:ascii="仿宋_GB2312" w:hAnsi="仿宋_GB2312" w:cs="仿宋_GB2312" w:eastAsia="仿宋_GB2312"/>
        </w:rPr>
        <w:t>联系电话：18189276056</w:t>
      </w:r>
    </w:p>
    <w:p>
      <w:pPr>
        <w:pStyle w:val="null3"/>
      </w:pPr>
      <w:r>
        <w:rPr>
          <w:rFonts w:ascii="仿宋_GB2312" w:hAnsi="仿宋_GB2312" w:cs="仿宋_GB2312" w:eastAsia="仿宋_GB2312"/>
        </w:rPr>
        <w:t>地址：陕西省铜川市新区开元路中央公元3号楼20209</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1,189,886.13</w:t>
      </w:r>
    </w:p>
    <w:p>
      <w:pPr>
        <w:pStyle w:val="null3"/>
      </w:pPr>
      <w:r>
        <w:rPr>
          <w:rFonts w:ascii="仿宋_GB2312" w:hAnsi="仿宋_GB2312" w:cs="仿宋_GB2312" w:eastAsia="仿宋_GB2312"/>
        </w:rPr>
        <w:t>采购包最高限价（元）: 1,189,886.13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1189886.13</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1,189,886.13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标的名称：1189886.13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具体施工内容详见工程量清单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一、技术、服务标准和要求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工程的施工过程和成果必须符合国家有关标准和国家或有关部门关于该工程施工方面现行的标准、规范、规程、定额、办法、示例，以及陕西省关于工程施工方面的文件、规定。工程实施过程中所提供的所有产品、材料均是合格产品，质量必须符合国家有关规范和相关政策。所有产品的生产、制造等各项技术标准，应当符合国家（强制性）标准、各项规范要求；国家没有相应标准、规范的，可使用行业标准、规定；非标产品按采购约定的技术要求和规范。并达到采购人要求。所有产品应质量优良、渠道正当，配置合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供应商在施工过程中使用或参考上述标准、规范以外的技术标准、规范时，应征得采购人的同意。</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在施工过程中，如果国家或有关部门颁布了新的技术标准或规范，则承包人应采用新的标准或规范进行施工。</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应先充分了解工地位置、地质情况、进出场道路、拆迁干扰、储存空间、运输能力、装卸限制、行车干扰及任何其它足以影响承包价格的情况，了解设计施工规范、标准以及施工现场实际等情况，并应考虑现有人、材、机市场水平和供应、投标风险、不利的施工因素等，任何因忽视或误解工地情况而导致的索赔或工期延长申请将不获批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供应商所提供的材料如需向第三方外购时，供应商应对质量负责。同时，还应满足本磋商文件、工程量清单的相关技术要求。</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质量必须达到国家及行业现行技术规范标准，符合国家及行业施工验收规范合格标准，以及竞争性磋商文件规定的强制性质量和安全标准要求。</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供应商成交后，采购人将在签署施工合同前查验项目经理相关资质、身份材料以及成交供应商为项目经理缴纳社保的缴费凭据。项目经理必须履职尽责。</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本项目如涉及与政府部门（包含且不限于）环保、城管、规划等沟通协调或办理手续，费用及手续办理均由承包人负责，如因沟通协调及办理手续原因造成工期延误或费用增加等由承包人负责。</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施工过程中，供应商应制定详细可行的防污降噪处理措施，减少对周围环境的影响，每天施工结束后对施工现场进行清扫。</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承包人不得将其承包的工程转包给他人，也不得将其承包的工程以分包的名义转包给他人。</w:t>
            </w:r>
          </w:p>
          <w:p>
            <w:pPr>
              <w:pStyle w:val="null3"/>
              <w:jc w:val="both"/>
            </w:pPr>
            <w:r>
              <w:rPr>
                <w:rFonts w:ascii="仿宋_GB2312" w:hAnsi="仿宋_GB2312" w:cs="仿宋_GB2312" w:eastAsia="仿宋_GB2312"/>
                <w:sz w:val="24"/>
              </w:rPr>
              <w:t>二、本工程合同形式为固定综合单价合同</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本工程计价采用固定综合单价，各供应商依据企业自身情况自主报价、风险自负。所有投标报价中的单价和合价均以人民币表示。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各供应商对分部分项工程费、措施项目费、其他项目费等进行自主报价、风险自负。</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招标工程量清单的工程项目仅表达了主要工程做法，报价时各投标单位应依据图纸、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供应商在投标截止前修改投标函中的投标总报价，应同时修改</w:t>
            </w:r>
            <w:r>
              <w:rPr>
                <w:rFonts w:ascii="仿宋_GB2312" w:hAnsi="仿宋_GB2312" w:cs="仿宋_GB2312" w:eastAsia="仿宋_GB2312"/>
                <w:sz w:val="24"/>
              </w:rPr>
              <w:t>“</w:t>
            </w:r>
            <w:r>
              <w:rPr>
                <w:rFonts w:ascii="仿宋_GB2312" w:hAnsi="仿宋_GB2312" w:cs="仿宋_GB2312" w:eastAsia="仿宋_GB2312"/>
                <w:sz w:val="24"/>
              </w:rPr>
              <w:t>已标价工程量清单</w:t>
            </w:r>
            <w:r>
              <w:rPr>
                <w:rFonts w:ascii="仿宋_GB2312" w:hAnsi="仿宋_GB2312" w:cs="仿宋_GB2312" w:eastAsia="仿宋_GB2312"/>
                <w:sz w:val="24"/>
              </w:rPr>
              <w:t>”</w:t>
            </w:r>
            <w:r>
              <w:rPr>
                <w:rFonts w:ascii="仿宋_GB2312" w:hAnsi="仿宋_GB2312" w:cs="仿宋_GB2312" w:eastAsia="仿宋_GB2312"/>
                <w:sz w:val="24"/>
              </w:rPr>
              <w:t>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1、验收交付标准和方法：（一） 验收标准： 质量必须达到国家及行业现行技术规范标准，符合国家及行业验收规范合格标准，并满足采购人要求。 （二） 验收方法：（1）在竣工后，成交供应商应向采购人提交工程竣工报告，申请工程竣工验收，并将施工过程中相关资料提交采购人。（2） 采购人收到工程竣工报告后，对符合竣工验收要求的工程，组织相关单位和有关人员验收，签署工程竣工验收意见。（3）验收合格后，采购人出具《工程竣工验收报告》 ，并在相关主管部门备案。 （4）验收不合格的，成交供应商必须在接到通知后3个日历日内确保工程通过验收。如接到通知后3个日历日内验收仍不合格，采购人可提出索赔或取消合同。（三）验收依据：（1）合同文本及合同补充文件（条款） 。（2） 磋商文件。（3） 响应文件。（4）工程量清单。（5）施工质量验收标准。 2、履约验收时间：供应商提出验收申请之日起3日内组织验收； 3、质量保修范围和保修期：成交供应商负责合同期内工程内容的保养及维护。</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（一）其他技术服务要求： 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 2、成交人应配合项目建设进度,向采购人提供施工组织计划、进度计划和施工作业计划，并签订施工安全责任书。 3、在施工期间，原有生态环境尽量不破坏，确需破坏的，要严格制定措施，尽量少破坏，严格按照施工图纸执行。 4、其他要求详见3.1条中“一、技术、服务标准和要求”. （二）商务要求： 1、工期：自合同签订之日起5日历天； 2、地点：采购人指定地点； 3、付款方式：分期付款。支付时间及比例：（1）合同签订后，达到付款条件起 3 日内，支付合同总金额的 60.00%。（2）项目所有内容完成，竣工验收合格，达到付款条件起 3 日内，支付合同总金额的 40.00%。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壹份。2.纸质响应文件正副本分别胶装，标明供应商名称密封递交，递交截止时间同在线递交电子响应文件截止时间一致，递交地址：陕西省铜川市新区开元路中央公元3号楼20209。（纸质响应文件可邮寄，邮件签收时间应为在线递交电子响应文件截止时间之前，邮寄地址：陕西省铜川市新区开元路中央公元3号楼20209，联系人：高妮，联系电话18189276056）。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的赋码财务审计报告（成立时间至提交响应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法定代表人授权代表参加磋商的，须出具《法定代表人授权委托书》。分支机构参与磋商时，响应文件中应附法人出具的授权书。法人只能授权一家分支机构参与磋商，且不能与分支机构同时参与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供应商须提供由建设行政主管部门颁发的市政公用工程施工总承包三级及以上资质证书，且具有合格有效的安全生产许可证。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拟派项目负责人资质或专业要求</w:t>
            </w:r>
          </w:p>
        </w:tc>
        <w:tc>
          <w:tcPr>
            <w:tcW w:type="dxa" w:w="3322"/>
          </w:tcPr>
          <w:p>
            <w:pPr>
              <w:pStyle w:val="null3"/>
            </w:pPr>
            <w:r>
              <w:rPr>
                <w:rFonts w:ascii="仿宋_GB2312" w:hAnsi="仿宋_GB2312" w:cs="仿宋_GB2312" w:eastAsia="仿宋_GB2312"/>
              </w:rPr>
              <w:t>供应商拟委派的项目经理须具有市政公用工程专业贰级及以上注册建造师资质并持有安全生产考核合格证（建安B证），项目经理需在本单位注册，且无其他在建工程（提供无在建承诺）。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赋码财务审计报告（成立时间至提交响应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提供投标截止日前近一年内已缴纳的至少一个月的纳税证明或完税证明，纳税证明或完税证明上应有代收机构或税务机关的公章或业务专用章。依法免税或无须缴纳税收的供应商应提供相应证明文件。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提供投标截止日前近一年内已缴存的至少一个月的社会保障资金缴存单据或由社保机构开具的社会保险参保缴费情况证明。依法不需要缴纳社会保障资金的单位应提供相关证明材料。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在“中国执行信息公开网（http://zxgk.court.gov.cn/）”被列为失信被执行人；不得在“信用中国”（www.creditchina.gov.cn）被列入严重失信主体名单和重大税收违法失信主体；不得在“中国政府采购网”（www.ccgp.gov.cn）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提供具有履行合同所必需的设备和专业技术能力的证明材料或书面声明。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本项目不接受联合体磋商，供应商提供《非联合体承诺函》。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供应商必须按照磋商文件的规定和要求在响应文件中指定的页面落款处加盖公章或由法定代表人或被授权人签名（或盖章），其余页面逐页盖公章，否则将作为无效响应文件处理。磋商文件凡是要求法定代表人签名或盖章之处 ，非法人单位的负责人均参照执行。 （2）报价唯一：只能有一个有效报价，不得提交选择性报价，且报价不超过采购预算和最高限价中的任何一个。</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要求必须响应的内容齐全、无遗漏。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（1）竞争性磋商文件响应程度：要求全面响应，不能有任何采购人不能接受的附加条件。 （2）拟提供的服务要求：应满足竞争性磋商文件提出的技术、商务和服务要求。 （3）响应有效期：应满足竞争性磋商文件中的规定。 （4）工期和工程质量：应满足竞争性磋商文件中的规定 。</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供应商针对本项目制定施工组织方案，内容包含但不限于：①对项目总体概况表述；②施工部署及措施；③对项目主要及关键方案的表述；④施工平面布置等。施工组织方案全面具体、详细、针对性强、步骤清晰，可操作性及可行性高，完全能够保障项目顺利实施的得10分；施工组织方案较为全面具体、详细、针对性较好、步骤清晰，可操作性及可行性较高、能满足采购所需的得8分；施工组织方案基本全面、合理、步骤较清晰、不缺少关键点、可操作及可行性一般、基本能满足采购所需的得6分；施工组织方案简单、不全面，缺少关键点、可操作及可行性较差，整体施工方案质量低的得2分；未提供施工组织方案或方案完全脱离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根据对工作重点与难点分析及对策的响应程度。难点、重点描述说明与实际情况符合、描述详尽、有对应的解决措施对策，解决对策针对性强、能完全满足采购所需的得4分；难点、重点描述说明与实际情况较为符合、描述较为详尽、有对应的解决措施对策，解决对策针对性较好的得3分；难点、重点描述与实际情况基本符合、描述基本详细、但只有部分问题有解决对策，解决对策针对性一般的得2分；难点、重点描述与实际情况符合程度一般、发现的问题简单且缺少解决对策，解决对策针对性差的得1分；未提供重点与难点分析或方案完全脱离实际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供应商针对本项目提供实施过程中的应急服务方案，内容包含但不限于：①应急预案体系；②安全保障方案；③应急服务时限保障措施等。应急服务方案完善、科学合理、切实可行满足采购需求，符合本项目实际情况，完全能够保障项目顺利实施的得4分；应急服务方案较为完善、针对性较好，可操作及可行性较高、能满足采购所需的得3分；应急服务方案基本全面、合理、可操作及可行性一般、基本能满足采购所需的得2分；应急服务方案简单、不全面，缺少关键点、可操作及可行性较差，整体方案质量低的得1分；未提供应急服务方案或方案完全脱离实际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制定质量保证措施，内容包含但不限于：①工程质量管理体系和组织措施（质量目标、质量管理体系及职责、质量管理制度等）；②质量保证措施（质量保证措施、问题预防措施、成品保护措施等）等。质量保证措施全面具体、科学合理、可行性强、整体服务质量高的得8分；质量保证措施较为全面具体、较为科学合理、方案可行、整体服务质量较高的得6分；质量保证措施基本全面、基本合理、有一定的可行性、整体服务质量一般的得4分；质量保证措施不全面、缺少合理性、可行性不高、整体服务质量低的得2分；未提供质量保证措施或方案完全脱离实际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供应商针对本项目制定安全生产保证措施，内容包含但不限于：①安全管理目标；②安全施工措施；③文明施工保证措施等。安全生产保证措施全面具体、详细、针对性强、步骤清晰，可操作性及可行性高，完全能够保障项目顺利实施的得8分；安全生产保证措施较为全面具体、详细、针对性较好、步骤清晰，可操作性及可行性较高、能满足采购所需的得6分；安全生产保证措施基本全面、合理、步骤较清晰、不缺少关键点、可操作及可行性一般、基本能满足采购所需的得4分；安全生产保证措施方案简单、不全面，缺少关键点、可操作及可行性较差，整体方案质量低的得2分；未提供安全生产保证措施或方案完全脱离实际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环境保护管理体系与措施，内容包含但不限于：①环境保护管理目标；②环境保护管理机构职责分工；③环境保护管理制度；④环境保护保证措施等。环境保护管理体系与措施完善、科学合理、切实可行满足采购需求，符合本项目实际情况，完全能够保障项目顺利实施的得5分；环境保护管理体系与措施较为完善、针对性较好，可操作及可行性较高、能满足采购所需的得4分；环境保护管理体系与措施基本全面、合理、可操作及可行性一般、基本能满足采购所需的得3分；环境保护管理体系与措施方案简单、不全面，缺少关键点、可操作及可行性较差，整体方案质量低的得2分；未提供环境保护管理体系与措施或方案完全脱离实际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工程进度计划与保证措施，内容包含但不限于：①总工期及节点工期安排；②施工进度计划安排；③进度保证措施等。工程进度计划与保证措施全面具体、科学合理、可行性高，完全能够保障项目按时完成的得8分；工程进度计划与保证措施较为全面具体、科学合理较好、可行性较好，能保障项目按时完成的得6分；工程进度计划与保证措施基本全面、科学合理一般、可行性一般，基本能保障项目按时完成的得4分；工程进度计划与保证措施不全面、欠缺科学合理性、可行性差，项目可以按时完成的得2分；未提供工程进度计划与保证措施或方案完全脱离实际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制定资源配备计划，内容包含但不限于：①劳动力计划；②主要材料供应计划；③施工机械设备配备计划等。资源配备计划完善、科学合理、切实可行，满足采购需求，符合本项目实际情况，完全能够保障项目顺利实施的得4分；资源配备计划较为完善、针对性较好、可行性较高，能满足采购所需的得3分；资源配备计划基本全面、合理，可行性一般，基本能满足采购所需的得2分；资源配备计划方案简单、不全面，缺少关键点、可操作及可行性较差，整体方案质量低的得1分；未提供资源配备计划或方案完全脱离实际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理解程度提出有利于采购人或项目实施的合理化建议。合理化建议内容完善可行、全面具体、针对性强、可操作性强，完全有利于采购项目的得4分；合理化建议内容较为具体、基本可行、针对性较好，有良好的可操作性，且有利于采购项目的得3分；合理化建议内容中有较多缺失或内容笼统、欠缺针对性的得2分；未提供合理化建议或方案完全脱离实际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供应商针对本项目实际需求及特点，制定项目经理部组成方案，内容包含但不限于：团队机构设置、项目管理机构岗位职责、组成人员名单（包括但不限于项目经理、技术负责人、施工员、安全员、质量员、材料员、资料员等）。 拟派项目负责人的项目经验丰富，组织机构人员设置合理、职责明确、分工清晰，工作经历丰富，能够胜任本项目服务工作的得4分；人员配备较为合理、职责较为明确、分工较为清晰，工作经历较为丰富，较能够胜任本项目服务工作的得3分；人员配备一般，职责、分工不明确，工作经历较少，勉强能够胜任本项目服务工作的得2分；未提供人员配备方案或方案完全脱离项目实际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对后续服务、响应时间及方式、人员到位情况等有详细的实质性方案措施或相关承诺。后续服务内容明确合理、可行性高，且完全有利于采购项目的得5分；后续服务内容有部分阐述不明确，可行性较强，不能完全有利于项目实施的得3分；后续服务内容中有较多缺失或内容笼统、欠缺针对性的得2分；未提供服务承诺或方案完全脱离实际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供应商提供2023年1月至投标截止日期前类似项目业绩，评审时以响应文件中的复印件/扫描件为计分依据。提供一份合同得2分，最高得6分。 注：业绩以合同协议书复印件/扫描件为准。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