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版本号：SXBH-ZFCG-2025-11120260105001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王益区中心敬老院消防提升改造室内配套设施设备采购项目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SXBH-ZFCG-2025-111</w:t>
      </w:r>
      <w:r>
        <w:br/>
      </w:r>
      <w:r>
        <w:br/>
      </w:r>
      <w:r>
        <w:br/>
      </w:r>
    </w:p>
    <w:p>
      <w:pPr>
        <w:pStyle w:val="null3"/>
        <w:jc w:val="center"/>
        <w:outlineLvl w:val="2"/>
      </w:pPr>
      <w:r>
        <w:rPr>
          <w:rFonts w:ascii="仿宋_GB2312" w:hAnsi="仿宋_GB2312" w:cs="仿宋_GB2312" w:eastAsia="仿宋_GB2312"/>
          <w:sz w:val="28"/>
          <w:b/>
        </w:rPr>
        <w:t>铜川市王益区中心敬老院</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铜川市王益区中心敬老院</w:t>
      </w:r>
      <w:r>
        <w:rPr>
          <w:rFonts w:ascii="仿宋_GB2312" w:hAnsi="仿宋_GB2312" w:cs="仿宋_GB2312" w:eastAsia="仿宋_GB2312"/>
        </w:rPr>
        <w:t>委托，拟对</w:t>
      </w:r>
      <w:r>
        <w:rPr>
          <w:rFonts w:ascii="仿宋_GB2312" w:hAnsi="仿宋_GB2312" w:cs="仿宋_GB2312" w:eastAsia="仿宋_GB2312"/>
        </w:rPr>
        <w:t>王益区中心敬老院消防提升改造室内配套设施设备采购项目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SXBH-ZFCG-2025-111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王益区中心敬老院消防提升改造室内配套设施设备采购项目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王益区中心敬老院相关室内配套设施设备采购：电视壁龛、电视柜、衣柜等。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采购包1（王益区中心敬老院消防提升改造室内配套设施设备采购）：属于专门面向小微企业采购。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w:t>
      </w:r>
    </w:p>
    <w:p>
      <w:pPr>
        <w:pStyle w:val="null3"/>
      </w:pPr>
      <w:r>
        <w:rPr>
          <w:rFonts w:ascii="仿宋_GB2312" w:hAnsi="仿宋_GB2312" w:cs="仿宋_GB2312" w:eastAsia="仿宋_GB2312"/>
        </w:rPr>
        <w:t>2、具有良好的商业信誉：提供中国裁判文书网无行贿犯罪行为记录的查询结果截图；并附具有良好的商业信誉的声明函（格式自拟，需法定代表人签字并加盖单位公章）；</w:t>
      </w:r>
    </w:p>
    <w:p>
      <w:pPr>
        <w:pStyle w:val="null3"/>
      </w:pPr>
      <w:r>
        <w:rPr>
          <w:rFonts w:ascii="仿宋_GB2312" w:hAnsi="仿宋_GB2312" w:cs="仿宋_GB2312" w:eastAsia="仿宋_GB2312"/>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有依法缴纳社会保障资金的良好记录：提供投标截止日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健全的财务会计制度：提供近三年任意一年经会计师事务所或审计机构审计的财务审计报告（包括资产负债表、现金流量表、利润表、所有者权益变动表（无所有权益变动表的提供书面声明）、附注、审计机构资质证书、财务情况说明等全部内容，成立时间至提交响应文件截止时间不足一年的可提供成立后任意时段的资产负债表）或其基本存款账户开户银行出具的资信证明及基本存款账户信息；</w:t>
      </w:r>
    </w:p>
    <w:p>
      <w:pPr>
        <w:pStyle w:val="null3"/>
      </w:pPr>
      <w:r>
        <w:rPr>
          <w:rFonts w:ascii="仿宋_GB2312" w:hAnsi="仿宋_GB2312" w:cs="仿宋_GB2312" w:eastAsia="仿宋_GB2312"/>
        </w:rPr>
        <w:t>6、具有履行合同所必需的设备和专业技术能力：提供具有履行合同所必需的设备和专业技术能力的书面声明；</w:t>
      </w:r>
    </w:p>
    <w:p>
      <w:pPr>
        <w:pStyle w:val="null3"/>
      </w:pPr>
      <w:r>
        <w:rPr>
          <w:rFonts w:ascii="仿宋_GB2312" w:hAnsi="仿宋_GB2312" w:cs="仿宋_GB2312" w:eastAsia="仿宋_GB2312"/>
        </w:rPr>
        <w:t>7、参加政府采购活动前三年内，在经营活动中没有重大违法记录或被起诉：提供参加政府采购活动前三年内，在经营活动中没有重大违法记录或被起诉的书面声明；</w:t>
      </w:r>
    </w:p>
    <w:p>
      <w:pPr>
        <w:pStyle w:val="null3"/>
      </w:pPr>
      <w:r>
        <w:rPr>
          <w:rFonts w:ascii="仿宋_GB2312" w:hAnsi="仿宋_GB2312" w:cs="仿宋_GB2312" w:eastAsia="仿宋_GB2312"/>
        </w:rPr>
        <w:t>8、法定代表人或法定代表授权人：法定代表人（负责人）直接参加投标的，须出具法定代表人（负责人）身份证明及身份证复印件，并与营业执照上信息一致；法定代表人（负责人）授权代表参加投标的，须出具法定代表人（负责人）授权书及授权代表身份证复印件</w:t>
      </w:r>
    </w:p>
    <w:p>
      <w:pPr>
        <w:pStyle w:val="null3"/>
      </w:pPr>
      <w:r>
        <w:rPr>
          <w:rFonts w:ascii="仿宋_GB2312" w:hAnsi="仿宋_GB2312" w:cs="仿宋_GB2312" w:eastAsia="仿宋_GB2312"/>
        </w:rPr>
        <w:t>9、非联合体投标：提供非联合体投标承诺书</w:t>
      </w:r>
    </w:p>
    <w:p>
      <w:pPr>
        <w:pStyle w:val="null3"/>
      </w:pPr>
      <w:r>
        <w:rPr>
          <w:rFonts w:ascii="仿宋_GB2312" w:hAnsi="仿宋_GB2312" w:cs="仿宋_GB2312" w:eastAsia="仿宋_GB2312"/>
        </w:rPr>
        <w:t>10、无关联性：提供单位负责人为同一人或者存在直接控股、管理关系的不同投标人，不得参加同一合同项下的政府采购活动的书面声明。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铜川市王益区中心敬老院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王益区王宜乡宜古村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13309190306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铜川市印台区南苑社区惠民佳苑8号楼2楼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常多多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18091953010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采购包1：489,768.53元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中标供应商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铜川市王益区中心敬老院</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铜川市王益区中心敬老院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铜川市王益区中心敬老院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要求乙方所供产品质量必须全面且严格符合国家强制性标准及行业质量验收规范，同时需满足相关法规要求。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联系人：常多多</w:t>
      </w:r>
    </w:p>
    <w:p>
      <w:pPr>
        <w:pStyle w:val="null3"/>
      </w:pPr>
      <w:r>
        <w:rPr>
          <w:rFonts w:ascii="仿宋_GB2312" w:hAnsi="仿宋_GB2312" w:cs="仿宋_GB2312" w:eastAsia="仿宋_GB2312"/>
        </w:rPr>
        <w:t>联系电话：18091953010</w:t>
      </w:r>
    </w:p>
    <w:p>
      <w:pPr>
        <w:pStyle w:val="null3"/>
      </w:pPr>
      <w:r>
        <w:rPr>
          <w:rFonts w:ascii="仿宋_GB2312" w:hAnsi="仿宋_GB2312" w:cs="仿宋_GB2312" w:eastAsia="仿宋_GB2312"/>
        </w:rPr>
        <w:t>地址：铜川市印台区惠民佳苑8号楼2楼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王益区中心敬老院相关室内配套设施设备采购：电视壁龛、电视柜、衣柜等。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489,768.53</w:t>
      </w:r>
    </w:p>
    <w:p>
      <w:pPr>
        <w:pStyle w:val="null3"/>
      </w:pPr>
      <w:r>
        <w:rPr>
          <w:rFonts w:ascii="仿宋_GB2312" w:hAnsi="仿宋_GB2312" w:cs="仿宋_GB2312" w:eastAsia="仿宋_GB2312"/>
        </w:rPr>
        <w:t>采购包最高限价（元）: 489,768.53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电视壁龛</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14,400.00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电视柜</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53,400.00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衣柜</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154,800.00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阳台会客椅子</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35,400.00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阳台会客桌</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14,400.00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床头柜</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29,700.00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木门</w:t>
            </w:r>
          </w:p>
        </w:tc>
        <w:tc>
          <w:tcPr>
            <w:tcW w:type="dxa" w:w="831"/>
          </w:tcPr>
          <w:p>
            <w:pPr>
              <w:pStyle w:val="null3"/>
              <w:jc w:val="right"/>
            </w:pPr>
            <w:r>
              <w:rPr>
                <w:rFonts w:ascii="仿宋_GB2312" w:hAnsi="仿宋_GB2312" w:cs="仿宋_GB2312" w:eastAsia="仿宋_GB2312"/>
              </w:rPr>
              <w:t>64.00</w:t>
            </w:r>
          </w:p>
        </w:tc>
        <w:tc>
          <w:tcPr>
            <w:tcW w:type="dxa" w:w="831"/>
          </w:tcPr>
          <w:p>
            <w:pPr>
              <w:pStyle w:val="null3"/>
              <w:jc w:val="right"/>
            </w:pPr>
            <w:r>
              <w:rPr>
                <w:rFonts w:ascii="仿宋_GB2312" w:hAnsi="仿宋_GB2312" w:cs="仿宋_GB2312" w:eastAsia="仿宋_GB2312"/>
              </w:rPr>
              <w:t>121,600.00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护理床</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65,400.00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墙面护角条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668.53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标的名称：电视壁龛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定制加厚双面工艺免漆板墙面电视壁龛；  </w:t>
            </w:r>
            <w:r>
              <w:br/>
            </w:r>
            <w:r>
              <w:rPr>
                <w:rFonts w:ascii="仿宋_GB2312" w:hAnsi="仿宋_GB2312" w:cs="仿宋_GB2312" w:eastAsia="仿宋_GB2312"/>
              </w:rPr>
              <w:t xml:space="preserve"> 尺寸：1.20m*0.75m*0.18m(长度*宽度*深度) 具体尺寸以实际测量为准。 </w:t>
            </w:r>
          </w:p>
        </w:tc>
      </w:tr>
    </w:tbl>
    <w:p>
      <w:pPr>
        <w:pStyle w:val="null3"/>
      </w:pPr>
      <w:r>
        <w:rPr>
          <w:rFonts w:ascii="仿宋_GB2312" w:hAnsi="仿宋_GB2312" w:cs="仿宋_GB2312" w:eastAsia="仿宋_GB2312"/>
        </w:rPr>
        <w:t>标的名称：电视柜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定制落地悬空免漆板双开门加双抽屉电视柜； </w:t>
            </w:r>
            <w:r>
              <w:br/>
            </w:r>
            <w:r>
              <w:rPr>
                <w:rFonts w:ascii="仿宋_GB2312" w:hAnsi="仿宋_GB2312" w:cs="仿宋_GB2312" w:eastAsia="仿宋_GB2312"/>
              </w:rPr>
              <w:t xml:space="preserve"> 尺寸：0.65m*1.80m*0.40m(高度*长度*深度) 具体尺寸以实际测量为准。 </w:t>
            </w:r>
          </w:p>
        </w:tc>
      </w:tr>
    </w:tbl>
    <w:p>
      <w:pPr>
        <w:pStyle w:val="null3"/>
      </w:pPr>
      <w:r>
        <w:rPr>
          <w:rFonts w:ascii="仿宋_GB2312" w:hAnsi="仿宋_GB2312" w:cs="仿宋_GB2312" w:eastAsia="仿宋_GB2312"/>
        </w:rPr>
        <w:t>标的名称：衣柜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定制卧室阳台免漆板专用三开门夹层板简约衣柜；  </w:t>
            </w:r>
            <w:r>
              <w:br/>
            </w:r>
            <w:r>
              <w:rPr>
                <w:rFonts w:ascii="仿宋_GB2312" w:hAnsi="仿宋_GB2312" w:cs="仿宋_GB2312" w:eastAsia="仿宋_GB2312"/>
              </w:rPr>
              <w:t xml:space="preserve"> 尺寸：2.00m*1.20m*0.60m(高度*长度*深度) 具体尺寸以实际测量为准。 </w:t>
            </w:r>
          </w:p>
        </w:tc>
      </w:tr>
    </w:tbl>
    <w:p>
      <w:pPr>
        <w:pStyle w:val="null3"/>
      </w:pPr>
      <w:r>
        <w:rPr>
          <w:rFonts w:ascii="仿宋_GB2312" w:hAnsi="仿宋_GB2312" w:cs="仿宋_GB2312" w:eastAsia="仿宋_GB2312"/>
        </w:rPr>
        <w:t>标的名称：阳台会客椅子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定制防污耐磨易打理优质双面皮 + 高密度回弹材质舒适靠背椅（圆形）；</w:t>
            </w:r>
            <w:r>
              <w:br/>
            </w:r>
            <w:r>
              <w:rPr>
                <w:rFonts w:ascii="仿宋_GB2312" w:hAnsi="仿宋_GB2312" w:cs="仿宋_GB2312" w:eastAsia="仿宋_GB2312"/>
              </w:rPr>
              <w:t xml:space="preserve"> 尺寸：0.90m*0.65m（高度*直径）。 </w:t>
            </w:r>
          </w:p>
        </w:tc>
      </w:tr>
    </w:tbl>
    <w:p>
      <w:pPr>
        <w:pStyle w:val="null3"/>
      </w:pPr>
      <w:r>
        <w:rPr>
          <w:rFonts w:ascii="仿宋_GB2312" w:hAnsi="仿宋_GB2312" w:cs="仿宋_GB2312" w:eastAsia="仿宋_GB2312"/>
        </w:rPr>
        <w:t>标的名称：阳台会客桌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定制框架材质橡木的阳台会客桌（圆形）；</w:t>
            </w:r>
            <w:r>
              <w:br/>
            </w:r>
            <w:r>
              <w:rPr>
                <w:rFonts w:ascii="仿宋_GB2312" w:hAnsi="仿宋_GB2312" w:cs="仿宋_GB2312" w:eastAsia="仿宋_GB2312"/>
              </w:rPr>
              <w:t xml:space="preserve"> 尺寸：0.73m*0.60m（高度*直径）。</w:t>
            </w:r>
          </w:p>
        </w:tc>
      </w:tr>
    </w:tbl>
    <w:p>
      <w:pPr>
        <w:pStyle w:val="null3"/>
      </w:pPr>
      <w:r>
        <w:rPr>
          <w:rFonts w:ascii="仿宋_GB2312" w:hAnsi="仿宋_GB2312" w:cs="仿宋_GB2312" w:eastAsia="仿宋_GB2312"/>
        </w:rPr>
        <w:t>标的名称：床头柜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定制室内专用材质免漆板储物收纳卧式床头柜； </w:t>
            </w:r>
            <w:r>
              <w:br/>
            </w:r>
            <w:r>
              <w:rPr>
                <w:rFonts w:ascii="仿宋_GB2312" w:hAnsi="仿宋_GB2312" w:cs="仿宋_GB2312" w:eastAsia="仿宋_GB2312"/>
              </w:rPr>
              <w:t xml:space="preserve"> 尺寸：0.60m*0.45m*0.40m(高度*宽度*深度) 具体尺寸以实际测量为准。</w:t>
            </w:r>
          </w:p>
        </w:tc>
      </w:tr>
    </w:tbl>
    <w:p>
      <w:pPr>
        <w:pStyle w:val="null3"/>
      </w:pPr>
      <w:r>
        <w:rPr>
          <w:rFonts w:ascii="仿宋_GB2312" w:hAnsi="仿宋_GB2312" w:cs="仿宋_GB2312" w:eastAsia="仿宋_GB2312"/>
        </w:rPr>
        <w:t>标的名称：木门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定制无漆隔音套装门（外加安全观察窗）；</w:t>
            </w:r>
            <w:r>
              <w:br/>
            </w:r>
            <w:r>
              <w:rPr>
                <w:rFonts w:ascii="仿宋_GB2312" w:hAnsi="仿宋_GB2312" w:cs="仿宋_GB2312" w:eastAsia="仿宋_GB2312"/>
              </w:rPr>
              <w:t xml:space="preserve"> 尺寸：2.40m*0.90m(长度*宽度) 具体尺寸以实际测量为准。</w:t>
            </w:r>
          </w:p>
        </w:tc>
      </w:tr>
    </w:tbl>
    <w:p>
      <w:pPr>
        <w:pStyle w:val="null3"/>
      </w:pPr>
      <w:r>
        <w:rPr>
          <w:rFonts w:ascii="仿宋_GB2312" w:hAnsi="仿宋_GB2312" w:cs="仿宋_GB2312" w:eastAsia="仿宋_GB2312"/>
        </w:rPr>
        <w:t>标的名称：护理床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定制功能手动双功能护理床（起背抬腿 + 高密度回弹海绵床垫 + 防污耐磨皮革 + ABS 摇把 + 双排静音轮）； </w:t>
            </w:r>
            <w:r>
              <w:br/>
            </w:r>
            <w:r>
              <w:rPr>
                <w:rFonts w:ascii="仿宋_GB2312" w:hAnsi="仿宋_GB2312" w:cs="仿宋_GB2312" w:eastAsia="仿宋_GB2312"/>
              </w:rPr>
              <w:t xml:space="preserve"> 尺寸：2.00m*1.00m*0.58m(长度*宽度*高度)。</w:t>
            </w:r>
          </w:p>
        </w:tc>
      </w:tr>
    </w:tbl>
    <w:p>
      <w:pPr>
        <w:pStyle w:val="null3"/>
      </w:pPr>
      <w:r>
        <w:rPr>
          <w:rFonts w:ascii="仿宋_GB2312" w:hAnsi="仿宋_GB2312" w:cs="仿宋_GB2312" w:eastAsia="仿宋_GB2312"/>
        </w:rPr>
        <w:t>标的名称：墙面护角条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定制室内墙面阳角线打孔防撞条；</w:t>
            </w:r>
            <w:r>
              <w:br/>
            </w:r>
            <w:r>
              <w:rPr>
                <w:rFonts w:ascii="仿宋_GB2312" w:hAnsi="仿宋_GB2312" w:cs="仿宋_GB2312" w:eastAsia="仿宋_GB2312"/>
              </w:rPr>
              <w:t xml:space="preserve"> 总长度48米，具体尺寸以实际测量为准。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铜川市王益区中心敬老院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供货安装完成（可正常使用）并验收合格后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一年（超过一年随产品质保）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1、为顺利推进政府采购电子化交易平台应用工作，投标人需要在线提交所有通过电子化交易平台实施的政府采购项目的响应文件，同时，线下提交纸质响应文件正本壹份、副本壹份。 2、纸质响应文件正副本分别胶装（书脊处注明项目名称，项目编号），标明投标人名称密封递交，递交截止时间同在线递交电子响应文件截止时间一致，递交地址：铜川市印台区惠民佳苑 8 号楼 2 楼。（纸质响应文件可邮寄，邮件签收时间应为在线递交电子响应文件截止时间之前，邮寄地址：铜川市印台区惠民佳苑 8 号楼 2 楼，联系人：常多多，联系电话：18091953010）。3、若电子投标文件与纸质投标文件不一致的，以电子投标文件为准。4、本项目专门面向小微企业采购，投标人须逐项完整响应《中小企业声明函》全部内容；凡存在缺项响应，或声明函所列设备有任一项非小微企业制造的，投标人无权享受本项目中小企业扶持政策，同时按废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意一年经会计师事务所或审计机构审计的财务审计报告（包括资产负债表、现金流量表、利润表、所有者权益变动表（无所有权益变动表的提供书面声明）、附注、审计机构资质证书、财务情况说明等全部内容，成立时间至提交响应文件截止时间不足一年的可提供成立后任意时段的资产负债表）或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提供中国裁判文书网无行贿犯罪行为记录的查询结果截图；并附具有良好的商业信誉的声明函（格式自拟，需法定代表人签字并加盖单位公章）；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近三年任意一年经会计师事务所或审计机构审计的财务审计报告（包括资产负债表、现金流量表、利润表、所有者权益变动表（无所有权益变动表的提供书面声明）、附注、审计机构资质证书、财务情况说明等全部内容，成立时间至提交响应文件截止时间不足一年的可提供成立后任意时段的资产负债表）或其基本存款账户开户银行出具的资信证明及基本存款账户信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参加政府采购活动前三年内，在经营活动中没有重大违法记录或被起诉</w:t>
            </w:r>
          </w:p>
        </w:tc>
        <w:tc>
          <w:tcPr>
            <w:tcW w:type="dxa" w:w="3322"/>
          </w:tcPr>
          <w:p>
            <w:pPr>
              <w:pStyle w:val="null3"/>
            </w:pPr>
            <w:r>
              <w:rPr>
                <w:rFonts w:ascii="仿宋_GB2312" w:hAnsi="仿宋_GB2312" w:cs="仿宋_GB2312" w:eastAsia="仿宋_GB2312"/>
              </w:rPr>
              <w:t>提供参加政府采购活动前三年内，在经营活动中没有重大违法记录或被起诉的书面声明；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法定代表人或法定代表授权人</w:t>
            </w:r>
          </w:p>
        </w:tc>
        <w:tc>
          <w:tcPr>
            <w:tcW w:type="dxa" w:w="3322"/>
          </w:tcPr>
          <w:p>
            <w:pPr>
              <w:pStyle w:val="null3"/>
            </w:pPr>
            <w:r>
              <w:rPr>
                <w:rFonts w:ascii="仿宋_GB2312" w:hAnsi="仿宋_GB2312" w:cs="仿宋_GB2312" w:eastAsia="仿宋_GB2312"/>
              </w:rPr>
              <w:t>法定代表人（负责人）直接参加投标的，须出具法定代表人（负责人）身份证明及身份证复印件，并与营业执照上信息一致；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法定代表人证明书.docx 投标人应提交的相关资格证明材料 法定代表人授权书.docx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无关联性</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投标人按照招标文件要求上传响应文件</w:t>
            </w:r>
          </w:p>
        </w:tc>
        <w:tc>
          <w:tcPr>
            <w:tcW w:type="dxa" w:w="1661"/>
          </w:tcPr>
          <w:p>
            <w:pPr>
              <w:pStyle w:val="null3"/>
            </w:pPr>
            <w:r>
              <w:rPr>
                <w:rFonts w:ascii="仿宋_GB2312" w:hAnsi="仿宋_GB2312" w:cs="仿宋_GB2312" w:eastAsia="仿宋_GB2312"/>
              </w:rPr>
              <w:t>开标一览表 技术方案.docx 中小企业声明函 商务应答表 投标人应提交的相关资格证明材料 同类项目业绩一览表.docx 法定代表人授权书.docx 产品技术参数表 投标函 残疾人福利性单位声明函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人必须按照招标文件的规定和要求在投标文件中指定的页面落款处加盖公章或由法定代表人或被授权人签名（或盖章），其余页面逐页盖公章，否则将作为无效投标文件处理。招标文件凡是要求法定代表人签名或盖章之处 ，非法人单位的负责人均参照执行。</w:t>
            </w:r>
          </w:p>
        </w:tc>
        <w:tc>
          <w:tcPr>
            <w:tcW w:type="dxa" w:w="1661"/>
          </w:tcPr>
          <w:p>
            <w:pPr>
              <w:pStyle w:val="null3"/>
            </w:pPr>
            <w:r>
              <w:rPr>
                <w:rFonts w:ascii="仿宋_GB2312" w:hAnsi="仿宋_GB2312" w:cs="仿宋_GB2312" w:eastAsia="仿宋_GB2312"/>
              </w:rPr>
              <w:t>开标一览表 技术方案.docx 中小企业声明函 商务应答表 投标人应提交的相关资格证明材料 同类项目业绩一览表.docx 法定代表人授权书.docx 产品技术参数表 投标函 残疾人福利性单位声明函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不得超过20日历天</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A、投标人的响应报价有选择性报价或者响应报价重新计算后超过本项目采购预算或者最高限价的； B、投标人未经过正常渠道领取招标文件，或投标人名称与领取招标文件时登记的投标人名称不符的； C、投标人针对同一项目递交两份或多份内容不同的响应文件，未书面声明哪一份是有效的或出现选择性报价的；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rFonts w:ascii="仿宋_GB2312" w:hAnsi="仿宋_GB2312" w:cs="仿宋_GB2312" w:eastAsia="仿宋_GB2312"/>
              </w:rPr>
              <w:t>开标一览表 技术方案.docx 中小企业声明函 商务应答表 投标人应提交的相关资格证明材料 同类项目业绩一览表.docx 法定代表人授权书.docx 产品技术参数表 投标函 残疾人福利性单位声明函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《中小企业声明函》响应情况</w:t>
            </w:r>
          </w:p>
        </w:tc>
        <w:tc>
          <w:tcPr>
            <w:tcW w:type="dxa" w:w="3322"/>
          </w:tcPr>
          <w:p>
            <w:pPr>
              <w:pStyle w:val="null3"/>
            </w:pPr>
            <w:r>
              <w:rPr>
                <w:rFonts w:ascii="仿宋_GB2312" w:hAnsi="仿宋_GB2312" w:cs="仿宋_GB2312" w:eastAsia="仿宋_GB2312"/>
              </w:rPr>
              <w:t>本项目专门面向小微企业采购，投标人须逐项完整响应《中小企业声明函》全部内容；凡存在缺项响应，或声明函所列设备有任一项非小微企业制造的，投标人无权享受本项目中小企业扶持政策，同时按废标处理。</w:t>
            </w:r>
          </w:p>
        </w:tc>
        <w:tc>
          <w:tcPr>
            <w:tcW w:type="dxa" w:w="1661"/>
          </w:tcPr>
          <w:p>
            <w:pPr>
              <w:pStyle w:val="null3"/>
            </w:pPr>
            <w:r>
              <w:rPr>
                <w:rFonts w:ascii="仿宋_GB2312" w:hAnsi="仿宋_GB2312" w:cs="仿宋_GB2312" w:eastAsia="仿宋_GB2312"/>
              </w:rPr>
              <w:t>中小企业声明函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核心评审内容（本项计4分，最高得4分，未提供或不完全响应的不计分） 经过有效性和符合性审核合格的投标人，其商务条款响应符合招标文件要求的计4分。不完全响应的计0分。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核心评审内容（本项计3分，最高得3分，未提供不计分） 提供2022年1月1日至响应文件递交截止日前已完成的同类项目业绩（提供中标通知书或合同复印件加盖公章，时间以中标通知书日期或合同签订日期为准）。每份计1分，计满3分为止。不能提供的不得分。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同类项目业绩一览表.docx</w:t>
            </w:r>
          </w:p>
        </w:tc>
      </w:tr>
      <w:tr>
        <w:tc>
          <w:tcPr>
            <w:tcW w:type="dxa" w:w="831"/>
            <w:vMerge/>
          </w:tcPr>
          <w:p/>
        </w:tc>
        <w:tc>
          <w:tcPr>
            <w:tcW w:type="dxa" w:w="1661"/>
          </w:tcPr>
          <w:p>
            <w:pPr>
              <w:pStyle w:val="null3"/>
            </w:pPr>
            <w:r>
              <w:rPr>
                <w:rFonts w:ascii="仿宋_GB2312" w:hAnsi="仿宋_GB2312" w:cs="仿宋_GB2312" w:eastAsia="仿宋_GB2312"/>
              </w:rPr>
              <w:t>产品合法来源证明</w:t>
            </w:r>
          </w:p>
        </w:tc>
        <w:tc>
          <w:tcPr>
            <w:tcW w:type="dxa" w:w="2492"/>
          </w:tcPr>
          <w:p>
            <w:pPr>
              <w:pStyle w:val="null3"/>
            </w:pPr>
            <w:r>
              <w:rPr>
                <w:rFonts w:ascii="仿宋_GB2312" w:hAnsi="仿宋_GB2312" w:cs="仿宋_GB2312" w:eastAsia="仿宋_GB2312"/>
              </w:rPr>
              <w:t>核心评审内容（第一项计4分，第二项计1分，最高得5分，未提供不计分） 1、提供产品合法来源证明材料（销售协议、代理协议（授权书）、原厂授权检测报告、彩页、实物照片等任一均可），每提供1个产品相关资料，计0.5分，计满4分为止，不提供不计分； 2、提供1份驾驶证，计0.5分，不提供不计分；提供1份行驶证，计0.5分，不提供不计分。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一、核心评审内容（每项计4分，最高得16分，未提供不计分） 1、项目组织机构设置； 2、总体及分项实施计划； 3、运输保障方案； 4、安装、调试及验收方案。 二、扣分规则（累计扣分不超过对应评审内容分值，四项内容总扣分无上限，扣完对应分项分值即止） 1、对核心要求无详细描述及说明（如项目组织机构未明确核心岗位职责、运输方案未说明货物防护措施、实施节点未明确验收标准、安装调试验收未细化流程步骤），扣0.5分/缺失要点； 2、若仅简单提及框架未展开任何具体内容（如仅写“设项目组织机构”未说明岗位设置及分工；仅写“有运输方案”未提及运输方式；仅写“含安装调试”未说明任何流程），每出现1项扣1分； 3、存在明显脱离项目实际的表述（如实施计划时间安排远超项目工期且无合理依据、运输方式选型不符合货物特性、安装验收标准远超行业常规水平及合同要求、运输方案无货物跟踪及应急处理机制），扣1分/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一、核心评审内容（第一项计4分，第二项计2分，最高得6分，未提供不计分） 1、供货运输方案（包括运输方式，货物防护措施（防潮、防震、防撞等），建立全程运输跟踪机制（实时定位、专人跟车等）及清晰界定货物到场验收流程及标准，可操作性强且能保障货物安全、准时交付）； 2、针对本项目特点做出合理计划及调配方案（制定科学的分阶段计划（含前期准备、供货、安装调试等关键节点）并建立完善的进度预警机制）。 二、扣分规则（累计扣分不超过对应评审内容分值，两项内容总扣分无上限，扣完对应分项分值即止） 1、核心要求无详细描述及说明（如供货运输方案未明确运输路线及防护措施、项目计划调配方案未结合本项目特点及分阶段节点），扣0.5分/缺失要点； 2、简单提及未展开任何具体内容（如仅写“提供供货运输方案”未说明运输方式及保障措施；仅写“有项目计划调配方案”未结合本项目特点及资源调配细节），每出现1项扣1分； 3、存在明显脱离项目的表述（如供货运输方式选型不符合货物特性、运输路线未规避项目所在地风险路段、项目计划节点安排远超工期要求且无依据、资源调配数量与项目规模不匹配），扣1分/处。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一、核心评审内容（每项计3分，最高得9分，未提供不计分） 1、培训时间计划及培训人员安排； 2、培训内容设计安排； 3、重点难点及培训结果保障措施。 二、扣分规则（累计扣分不超过对应评审内容分值，三项内容总扣分无上限，扣完对应分项分值即止） 1、核心要求无详细描述及说明（如培训时间计划未明确分阶段节点、培训内容未细化理论/实操模块），扣0.5分/缺失要点； 2、简单提及未展开任何具体内容（如仅写“有保障措施”未提及任何具体措施），扣0.5分/处； 3、存在明显脱离项目的表述（如培训内容与本项目采购标的无关、培训时间安排远超项目实施周期且无合理依据），扣1分/处； 4、存在实施漏洞导致无法有效落地（如培训人员未明确覆盖项目核心岗位、培训结果无考核/补训机制），扣1分/处。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一、核心评审内容（每项计3分，最高得12分，未提供不计分） 1、提供售后服务方案（包括含报修、处置、回访全流程）； 2、提供售后服务承诺(包括具体的响应方式、故障服务管理、问题管理等方面)； 3、提供售后服务体系（包括售后服务组织架构，各岗位职责，应急资源调配机制）； 4、提供维护保修计划（明确保修期限，保修范围）。 二、扣分规则（累计扣分不超过对应评审内容分值，四项内容总扣分无上限，扣完对应分项分值即止） 1、核心要求无详细描述及说明（如售后服务方案未明确服务流程、维护保修计划未明确保修范围），扣0.5分/缺失要点； 2、简单提及未展开任何具体内容（如仅写“提供售后服务方案”未说明服务内容及标准；仅写“有售后服务承诺”未提及响应方式等要素），每出现1项扣1分； 3、存在明显脱离项目的表述（如售后服务响应时间承诺无法匹配服务网点分布、维护保修范围远超产品常规保修标准且无合理依据），扣1分/处。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核心评审内容（本项计2分，最高得2分，提供不全或未提供不计分） 供应商应提供在陕西省境内的售后服务中心的名称、地址、电话、联系人、维修人员名单。</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应急响应时间</w:t>
            </w:r>
          </w:p>
        </w:tc>
        <w:tc>
          <w:tcPr>
            <w:tcW w:type="dxa" w:w="2492"/>
          </w:tcPr>
          <w:p>
            <w:pPr>
              <w:pStyle w:val="null3"/>
            </w:pPr>
            <w:r>
              <w:rPr>
                <w:rFonts w:ascii="仿宋_GB2312" w:hAnsi="仿宋_GB2312" w:cs="仿宋_GB2312" w:eastAsia="仿宋_GB2312"/>
              </w:rPr>
              <w:t>核心评审内容（本项计3分，最高得3分，未提供不计分） 应急响应时间能完全保障设备故障后的运行，投标人在接到电话1小时内作出响应并可赶至现场解决问题的计2分；2小时内响应的计1分，超过2小时响应的不计分（赶至现场解决问题时限将参考售后服务网点地址、售后人员等相关因素；应急响应时间未提供售后服务网点佐证材料，扣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履约承诺</w:t>
            </w:r>
          </w:p>
        </w:tc>
        <w:tc>
          <w:tcPr>
            <w:tcW w:type="dxa" w:w="2492"/>
          </w:tcPr>
          <w:p>
            <w:pPr>
              <w:pStyle w:val="null3"/>
            </w:pPr>
            <w:r>
              <w:rPr>
                <w:rFonts w:ascii="仿宋_GB2312" w:hAnsi="仿宋_GB2312" w:cs="仿宋_GB2312" w:eastAsia="仿宋_GB2312"/>
              </w:rPr>
              <w:t>核心评审内容：（每提供一份计1分，最高得4分；未提供或未文字说明核心响应点，不计分） 1.提供供货能力承诺（明确承诺交付时限）； 2.提供交付周期承诺（明确承诺按时交付，若因投标人原因延迟的解决办法）； 3.提供瑕疵处理承诺（明确货物存在质量问题，承诺在收到反馈后响应时限）； 4.提供合同履行承诺（明确承诺严格遵守合同所有条款）。</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突发应急预案</w:t>
            </w:r>
          </w:p>
        </w:tc>
        <w:tc>
          <w:tcPr>
            <w:tcW w:type="dxa" w:w="2492"/>
          </w:tcPr>
          <w:p>
            <w:pPr>
              <w:pStyle w:val="null3"/>
            </w:pPr>
            <w:r>
              <w:rPr>
                <w:rFonts w:ascii="仿宋_GB2312" w:hAnsi="仿宋_GB2312" w:cs="仿宋_GB2312" w:eastAsia="仿宋_GB2312"/>
              </w:rPr>
              <w:t>一、核心评审内容（每项计2分，最高得6分，未提供不计分） 针对本项目突发事件的应急响应处理方案： 1、设备故障应急预案； 2、人员受伤应急预案； 3、运输途中突发交通事故； 二、扣分规则（累计扣分不超过对应评审内容分值，三项内容总扣分无上限，扣完对应分项分值即止） 1、核心要求无详细描述及说明（如设备故障应急预案未细化排查步骤及应急备件调配流程、人员受伤应急预案未明确不同伤情急救措施及送医路线、运输事故应急预案未说明货物保护及保险理赔流程），扣0.5分/缺失要点； 2、若仅简单提及某类应急预案框架未展开任何具体内容（如仅写“具备设备故障应急预案”未说明任何处置流程；仅写“有人员受伤处置措施”未提及急救物资、责任分工等），每出现1项扣1分； 3、存在明显脱离项目实际的表述（如运输事故应急预案未结合本项目运输路线及货物特性），扣1分/处。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价格分统一采用低价优先法计算，即满足招标文件要求且价格最低的投标评审价为评标基准价，其价格分为满分。其他投标人的价格分统一按照下列公式计算:价格分-(评标基准价/投标评审价)x100x价格权值。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详见附件：同类项目业绩一览表.docx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