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版本号：中赞招字(2026)第001号20260209001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铜川市王益区综合养老服务中心建设项目（给排水、部分消防工程）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中赞招字(2026)第001号</w:t>
      </w:r>
      <w:r>
        <w:br/>
      </w:r>
      <w:r>
        <w:br/>
      </w:r>
      <w:r>
        <w:br/>
      </w:r>
    </w:p>
    <w:p>
      <w:pPr>
        <w:pStyle w:val="null3"/>
        <w:jc w:val="center"/>
        <w:outlineLvl w:val="2"/>
      </w:pPr>
      <w:r>
        <w:rPr>
          <w:rFonts w:ascii="仿宋_GB2312" w:hAnsi="仿宋_GB2312" w:cs="仿宋_GB2312" w:eastAsia="仿宋_GB2312"/>
          <w:sz w:val="28"/>
          <w:b/>
        </w:rPr>
        <w:t>铜川市王益区民政局</w:t>
      </w:r>
    </w:p>
    <w:p>
      <w:pPr>
        <w:pStyle w:val="null3"/>
        <w:jc w:val="center"/>
        <w:outlineLvl w:val="2"/>
      </w:pPr>
      <w:r>
        <w:rPr>
          <w:rFonts w:ascii="仿宋_GB2312" w:hAnsi="仿宋_GB2312" w:cs="仿宋_GB2312" w:eastAsia="仿宋_GB2312"/>
          <w:sz w:val="28"/>
          <w:b/>
        </w:rPr>
        <w:t>中赞国际项目管理有限公司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中赞国际项目管理有限公司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铜川市王益区民政局</w:t>
      </w:r>
      <w:r>
        <w:rPr>
          <w:rFonts w:ascii="仿宋_GB2312" w:hAnsi="仿宋_GB2312" w:cs="仿宋_GB2312" w:eastAsia="仿宋_GB2312"/>
        </w:rPr>
        <w:t>委托，拟对</w:t>
      </w:r>
      <w:r>
        <w:rPr>
          <w:rFonts w:ascii="仿宋_GB2312" w:hAnsi="仿宋_GB2312" w:cs="仿宋_GB2312" w:eastAsia="仿宋_GB2312"/>
        </w:rPr>
        <w:t>铜川市王益区综合养老服务中心建设项目（给排水、部分消防工程）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中赞招字(2026)第001号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铜川市王益区综合养老服务中心建设项目（给排水、部分消防工程）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王益区综合养老服务中心建设项目（给排水、部分消防工程）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采购包1（铜川市王益区综合养老服务中心建设项目（给排水、部分消防工程））：属于专门面向小微企业采购。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p>
      <w:pPr>
        <w:pStyle w:val="null3"/>
      </w:pPr>
      <w:r>
        <w:rPr>
          <w:rFonts w:ascii="仿宋_GB2312" w:hAnsi="仿宋_GB2312" w:cs="仿宋_GB2312" w:eastAsia="仿宋_GB2312"/>
        </w:rPr>
        <w:t>2、拟派项目负责人资质及专业要求：具有建筑行政主管部门颁发的市政公用工程总承包二级（含二级）以上资质，并具有有效的安全生产许可证；项目经理具有相应专业注册建造师二级(含二级)以上资格证书、有效的安全生产考核合格证书(B证)</w:t>
      </w:r>
    </w:p>
    <w:p>
      <w:pPr>
        <w:pStyle w:val="null3"/>
      </w:pPr>
      <w:r>
        <w:rPr>
          <w:rFonts w:ascii="仿宋_GB2312" w:hAnsi="仿宋_GB2312" w:cs="仿宋_GB2312" w:eastAsia="仿宋_GB2312"/>
        </w:rPr>
        <w:t>3、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供应商需在项目电子化交易系统中按要求上传相应证明文件并进行电子签章。</w:t>
      </w:r>
    </w:p>
    <w:p>
      <w:pPr>
        <w:pStyle w:val="null3"/>
      </w:pPr>
      <w:r>
        <w:rPr>
          <w:rFonts w:ascii="仿宋_GB2312" w:hAnsi="仿宋_GB2312" w:cs="仿宋_GB2312" w:eastAsia="仿宋_GB2312"/>
        </w:rPr>
        <w:t>4、具有依法缴纳社会保障资金的良好记录：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具有依法缴纳税收的良好记录：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6、具有履行合同所必需的设备和专业技术能力：具有履行合同所必需的设备和专业技术能力的声明；供应商需在项目电子化交易系统中按要求上传相应证明文件并进行电子签章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7、参加本次政府采购活动前3年内在经营活动中没有重大违法记录或被起诉：参加本次政府采购活动前3年内在经营活动中没有重大违法记录或被起诉的声明；供应商需在项目电子化交易系统中按要求上传相应证明文件并进行电子签章。</w:t>
      </w:r>
    </w:p>
    <w:p>
      <w:pPr>
        <w:pStyle w:val="null3"/>
      </w:pPr>
      <w:r>
        <w:rPr>
          <w:rFonts w:ascii="仿宋_GB2312" w:hAnsi="仿宋_GB2312" w:cs="仿宋_GB2312" w:eastAsia="仿宋_GB2312"/>
        </w:rPr>
        <w:t>8、非联合体磋商：提供非联合体磋商声明；供应商需在项目电子化交易系统中按要求上传相应证明文件并进行电子签章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铜川市王益区民政局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陕西省铜川市王益区七一路口民政综合楼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铜川市王益区民政局经办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0919-2188998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中赞国际项目管理有限公司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陕西省铜川市印台区延安路幸福佳苑3号楼5层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赵思宇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13152295000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采购包1：1,931,772.36元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铜川市王益区民政局</w:t>
      </w:r>
      <w:r>
        <w:rPr>
          <w:rFonts w:ascii="仿宋_GB2312" w:hAnsi="仿宋_GB2312" w:cs="仿宋_GB2312" w:eastAsia="仿宋_GB2312"/>
        </w:rPr>
        <w:t>和</w:t>
      </w:r>
      <w:r>
        <w:rPr>
          <w:rFonts w:ascii="仿宋_GB2312" w:hAnsi="仿宋_GB2312" w:cs="仿宋_GB2312" w:eastAsia="仿宋_GB2312"/>
        </w:rPr>
        <w:t>中赞国际项目管理有限公司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铜川市王益区民政局</w:t>
      </w:r>
      <w:r>
        <w:rPr>
          <w:rFonts w:ascii="仿宋_GB2312" w:hAnsi="仿宋_GB2312" w:cs="仿宋_GB2312" w:eastAsia="仿宋_GB2312"/>
        </w:rPr>
        <w:t>负责解释。除上述磋商文件内容，其他内容由</w:t>
      </w:r>
      <w:r>
        <w:rPr>
          <w:rFonts w:ascii="仿宋_GB2312" w:hAnsi="仿宋_GB2312" w:cs="仿宋_GB2312" w:eastAsia="仿宋_GB2312"/>
        </w:rPr>
        <w:t>中赞国际项目管理有限公司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铜川市王益区民政局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中赞国际项目管理有限公司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中赞国际项目管理有限公司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联系人：赵思宇</w:t>
      </w:r>
    </w:p>
    <w:p>
      <w:pPr>
        <w:pStyle w:val="null3"/>
      </w:pPr>
      <w:r>
        <w:rPr>
          <w:rFonts w:ascii="仿宋_GB2312" w:hAnsi="仿宋_GB2312" w:cs="仿宋_GB2312" w:eastAsia="仿宋_GB2312"/>
        </w:rPr>
        <w:t>联系电话：13152295000</w:t>
      </w:r>
    </w:p>
    <w:p>
      <w:pPr>
        <w:pStyle w:val="null3"/>
      </w:pPr>
      <w:r>
        <w:rPr>
          <w:rFonts w:ascii="仿宋_GB2312" w:hAnsi="仿宋_GB2312" w:cs="仿宋_GB2312" w:eastAsia="仿宋_GB2312"/>
        </w:rPr>
        <w:t>地址：铜川市印台区延安路幸福佳苑3号楼5层</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1,931,772.36</w:t>
      </w:r>
    </w:p>
    <w:p>
      <w:pPr>
        <w:pStyle w:val="null3"/>
      </w:pPr>
      <w:r>
        <w:rPr>
          <w:rFonts w:ascii="仿宋_GB2312" w:hAnsi="仿宋_GB2312" w:cs="仿宋_GB2312" w:eastAsia="仿宋_GB2312"/>
        </w:rPr>
        <w:t>采购包最高限价（元）: 1,931,772.36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铜川市王益区综合养老服务中心建设项目（给排水及部分消防工程）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1,931,772.36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标的名称：铜川市王益区综合养老服务中心建设项目（给排水及部分消防工程）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1、标的名称：铜川市王益区综合养老服务中心建设项目（给排水、部分消防工程）</w:t>
            </w:r>
          </w:p>
          <w:p>
            <w:pPr>
              <w:pStyle w:val="null3"/>
            </w:pPr>
            <w:r>
              <w:rPr>
                <w:rFonts w:ascii="仿宋_GB2312" w:hAnsi="仿宋_GB2312" w:cs="仿宋_GB2312" w:eastAsia="仿宋_GB2312"/>
                <w:sz w:val="21"/>
                <w:b/>
              </w:rPr>
              <w:t>2、满足采购需求：必须达到国家及行业现行技术规范标准，符合国家及行业验收合格标准</w:t>
            </w:r>
          </w:p>
          <w:p>
            <w:pPr>
              <w:pStyle w:val="null3"/>
            </w:pPr>
            <w:r>
              <w:rPr>
                <w:rFonts w:ascii="仿宋_GB2312" w:hAnsi="仿宋_GB2312" w:cs="仿宋_GB2312" w:eastAsia="仿宋_GB2312"/>
                <w:sz w:val="21"/>
                <w:b/>
              </w:rPr>
              <w:t>3、施工地点：采购人指定地点</w:t>
            </w:r>
          </w:p>
          <w:p>
            <w:pPr>
              <w:pStyle w:val="null3"/>
            </w:pPr>
            <w:r>
              <w:rPr>
                <w:rFonts w:ascii="仿宋_GB2312" w:hAnsi="仿宋_GB2312" w:cs="仿宋_GB2312" w:eastAsia="仿宋_GB2312"/>
                <w:sz w:val="21"/>
                <w:b/>
              </w:rPr>
              <w:t>4、建设内容：铜川市王益区综合养老服务中心建设项目（给排水、部分消防工程）（具体施工内容详见工程量清单）</w:t>
            </w:r>
          </w:p>
          <w:p>
            <w:pPr>
              <w:pStyle w:val="null3"/>
            </w:pPr>
            <w:r>
              <w:rPr>
                <w:rFonts w:ascii="仿宋_GB2312" w:hAnsi="仿宋_GB2312" w:cs="仿宋_GB2312" w:eastAsia="仿宋_GB2312"/>
                <w:sz w:val="21"/>
                <w:b/>
              </w:rPr>
              <w:t>5、项目计划工期：150日历天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合格工程</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达到行业相关技术要求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1、工程地点：采购人指定地点。 2、工期要求：150日历天。 3、缺陷责任期：1年。 4、质量标准：必须达到国家及行业现行技术规范标准，符合国家及行业验收合格标准。 5、质量保修期限执行《建筑工程质量管理条例》，法律未规定由甲乙双方自行协商。建设工程在保修范围和保修期限内发生质量问题的，施工单位应当履行保修义务，并对造成的损失承担赔偿责任。 6、合同实施：若因成交供应商原因未能在工期内（不可抗力因素除外）完成合同规定的义务，由此对采购人造成的延误和一切损失，由成交供应商承担和赔偿。</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磋商前六个月内其基本存款账户开户银行出具的资信证明；（提供复印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拟派项目负责人资质及专业要求</w:t>
            </w:r>
          </w:p>
        </w:tc>
        <w:tc>
          <w:tcPr>
            <w:tcW w:type="dxa" w:w="3322"/>
          </w:tcPr>
          <w:p>
            <w:pPr>
              <w:pStyle w:val="null3"/>
            </w:pPr>
            <w:r>
              <w:rPr>
                <w:rFonts w:ascii="仿宋_GB2312" w:hAnsi="仿宋_GB2312" w:cs="仿宋_GB2312" w:eastAsia="仿宋_GB2312"/>
              </w:rPr>
              <w:t>具有建筑行政主管部门颁发的市政公用工程总承包二级（含二级）以上资质，并具有有效的安全生产许可证；项目经理具有相应专业注册建造师二级(含二级)以上资格证书、有效的安全生产考核合格证书(B证)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供应商不得为“信用中国(www.creditchina.gov.cn)”中列入重大税收违法失信主体、严重失信主体名单及政府采购严重违法失信行为记录名单查询的供应商；不得在“中国执行信息公开网(http://zxgk.court.gov.cn)”被列为失信被执行人；不得被列入“国家企业信用信息公示系统(http://www.gsxt.gov.cn/index.html)”行政处罚信息、经营异常名录信息及严重违法失信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磋商截止日前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磋商截止日前近一年内已缴纳的至少一个月的纳税证明或完税证明，纳税证明或完税证明上应有代收机构或税务机关的公章或业务专用章。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提供非联合体磋商声明；供应商需在项目电子化交易系统中按要求上传相应证明文件并进行电子签章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供应商必须按照磋商文件的规定和要求在响应文件中指定的页面落款处加盖公章并由法定代表人或被授权人签名（或盖章），其余页面逐页盖公章，否则将作为无效响应文件处理。磋商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响应文件所有报价未超过最高限价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不得超过150日历天</w:t>
            </w:r>
          </w:p>
        </w:tc>
        <w:tc>
          <w:tcPr>
            <w:tcW w:type="dxa" w:w="1661"/>
          </w:tcPr>
          <w:p>
            <w:pPr>
              <w:pStyle w:val="null3"/>
            </w:pPr>
            <w:r>
              <w:rPr>
                <w:rFonts w:ascii="仿宋_GB2312" w:hAnsi="仿宋_GB2312" w:cs="仿宋_GB2312" w:eastAsia="仿宋_GB2312"/>
              </w:rPr>
              <w:t>报价函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自首次递交响应文件之日起90日历日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A、供应商的磋商报价有选择性报价或者磋商报价重新计算后超过本项目采购预算或者最高限价的； B、供应商未经过正常渠道领取磋商文件，或供应商名称与领取磋商文件时登记的供应商名称不符的； C、供应商针对同一项目递交两份或多份内容不同的响应文件，未书面声明哪一份是有效的或出现选择性报价的； D、提供虚假资质、虚假资料、虚假证明（包括第三方提供的虚假证明）；出现虚假应答、承诺、声明的，除按无效响应文件处理外，还将按照政府采购的有关规定进行处罚； E、供应商在商务响应方面附加了采购单位难以接受的条件或条款的； F、在政府采购或其它重大项目履约过程中有不良记录或未能按期履约的； G、供应商使用虚假印章或印章无法证实为真实有效； H、报价子目出现漏项或报价与要求不符的； I、提供虚假技术性能指标。 J、实质性内容不满足、未完全未响应招标要求或擅自改动采购清单的； K、响应文件的关键内容字迹模糊、无法辨认的；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三、赋分标准（满分4.5分） ①施工进度计划横道图：每完全满足一个评审标准得0.5分，满分1.5分； ②进度计划保证措施：每完全满足一个评审标准得0.5分，满分1.5分； ③工期保证措施：每完全满足一个评审标准得0.5分，满分1.5分。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 ①质量目标管理体系 ②施工质量的检验制度 ③确保质量的技术组织措施 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①质量目标管理体系：每完全满足一个评审标准得0.5分，满分1.5分； ②施工质量检验制度：每完全满足一个评审标准得0.5分，满分1.5分； ③确保质量的技术组织措施：每完全满足一个评审标准得1分，满分3分； ④施工质量控制措施：每完全满足一个评审标准得1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供应商针对本项目编制完善的资源配置计划，内容包含： 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三、赋分标准（满分6分） ①劳动力资源配置计划：每完全满足一个评审标准得0.5分，满分1.5分； ②施工机械设备投入计划：每完全满足一个评审标准得1分，满分3分； ③主要施工材料供应计划：每完全满足一个评审标准得0.5分，满分1.5分。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 ①文明施工管理目标及技术措施 ②文明施工现场管理：材料管理、扰民措施。 二、评审标准 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 ①成品保护措施 ②季节性施工措施 ③消防保卫措施 ④环境保护措施。 二、评审标准 1、完整性：方案必须全面，对评审内容中的各项要求有详细描述； 2、可实施性：切合本项目实际情况，提出步骤清晰、合理的方案； 3、针对性：方案能够紧扣项目实际情况，内容科学合理。 三、赋分标准（满分6分）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 ①施工目标:成本目标、工期目标、质量目标 ②施工准备：技术准备、材料准备、机械设备、机具准备 ③施工平面布置与安排。 二、评审标准 1、完整性：方案必须全面，对评审内容中的各项要求有详细描述； 2、可实施性：切合本项目实际情况，提出步骤清晰、合理的方案； 3、针对性：方案能够紧扣项目实际情况，内容科学合理。 三、赋分标准（满分6分） ①施工目标：每完全满足一个评审标准得0.5分，满分1.5分； ②施工准备：每完全满足一个评审标准得0.5分，满分1.5分；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供应商针对本项目编制完善的分部分项工程施工方案，内容包含： ①工程重难点及解决措施 ②分部分项工程施工方法 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②分部分项工程施工方法：每完全满足一个评审标准得0.5分，满分1.5分； ③施工质量通病防治措施：每完全满足一个评审标准得0.5分，满分1.5分。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①安全生产管理制度：每完全满足一个评审标准得0.5分，满分1.5分； ②安全施工措施：每完全满足一个评审标准得1分，满分3分； ③安全应急预案：每完全满足一个评审标准得1分，满分3分； ④安全生产教育：每完全满足一个评审标准得0.5分，满分1.5分。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 ①管理机构的配备计划 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三、赋分标准（满分4.5分） ①管理机构的配备计划：每完全满足一个评审标准得1分，满分3分； ②组织机构的岗位职责：每完全满足一个评审标准得0.5分，满分1.5分。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新材料、新技术和新工艺</w:t>
            </w:r>
          </w:p>
        </w:tc>
        <w:tc>
          <w:tcPr>
            <w:tcW w:type="dxa" w:w="2492"/>
          </w:tcPr>
          <w:p>
            <w:pPr>
              <w:pStyle w:val="null3"/>
            </w:pPr>
            <w:r>
              <w:rPr>
                <w:rFonts w:ascii="仿宋_GB2312" w:hAnsi="仿宋_GB2312" w:cs="仿宋_GB2312" w:eastAsia="仿宋_GB2312"/>
              </w:rPr>
              <w:t>一、评审内容 针对本项目具有 ①新材料 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①新材料：每完全满足一个评审标准得0.5 分，满分1.5 分； ②新技术和新工艺：每完全满足一个评审标准得0.5 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 结合本项目的实际，供应商应依据国家相关规定对工程质量编制保修方案，内容包含： ①工程验收方案 ②维修措施 ③保修责任及保修承诺。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三、赋分标准（满分6 分） ①工程验收方案：每完全满足一个评审标准得0.5分，满分1.5分； ②维修措施：每完全满足一个评审标准得0.5分，满分1.5分； ③保修责任及保修承诺：每完全满足一个评审标准得1分，满分3分。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2022年1月1日起至响应文件递交截止时间止，供应商具备类似项目业绩。每提供一份得1分，满分得4分。（以供应商提供的施工合同复印件为准，时间以合同签订时间为准）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 注：本项目专门面向中小企业，不进行价格折扣。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