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11F1EA">
      <w:pPr>
        <w:keepNext w:val="0"/>
        <w:keepLines w:val="0"/>
        <w:pageBreakBefore w:val="0"/>
        <w:widowControl/>
        <w:shd w:val="clear"/>
        <w:kinsoku w:val="0"/>
        <w:wordWrap/>
        <w:overflowPunct w:val="0"/>
        <w:topLinePunct w:val="0"/>
        <w:autoSpaceDE w:val="0"/>
        <w:autoSpaceDN w:val="0"/>
        <w:bidi w:val="0"/>
        <w:adjustRightInd w:val="0"/>
        <w:snapToGrid w:val="0"/>
        <w:spacing w:line="360" w:lineRule="auto"/>
        <w:jc w:val="center"/>
        <w:textAlignment w:val="baseline"/>
        <w:rPr>
          <w:rFonts w:hint="eastAsia" w:ascii="仿宋" w:hAnsi="仿宋" w:eastAsia="仿宋" w:cs="仿宋"/>
          <w:b/>
          <w:bCs/>
          <w:color w:val="000000" w:themeColor="text1"/>
          <w:sz w:val="44"/>
          <w:szCs w:val="44"/>
          <w:highlight w:val="none"/>
          <w14:textFill>
            <w14:solidFill>
              <w14:schemeClr w14:val="tx1"/>
            </w14:solidFill>
          </w14:textFill>
        </w:rPr>
      </w:pPr>
      <w:r>
        <w:rPr>
          <w:rFonts w:hint="eastAsia" w:ascii="仿宋" w:hAnsi="仿宋" w:eastAsia="仿宋" w:cs="仿宋"/>
          <w:b/>
          <w:bCs/>
          <w:color w:val="000000" w:themeColor="text1"/>
          <w:sz w:val="44"/>
          <w:szCs w:val="44"/>
          <w:highlight w:val="none"/>
          <w:lang w:eastAsia="zh-CN"/>
          <w14:textFill>
            <w14:solidFill>
              <w14:schemeClr w14:val="tx1"/>
            </w14:solidFill>
          </w14:textFill>
        </w:rPr>
        <w:t>铜川市王益区政府机关灶劳务外包服务项目</w:t>
      </w:r>
    </w:p>
    <w:p w14:paraId="22CA115B">
      <w:pPr>
        <w:keepNext w:val="0"/>
        <w:keepLines w:val="0"/>
        <w:pageBreakBefore w:val="0"/>
        <w:widowControl/>
        <w:shd w:val="clear"/>
        <w:kinsoku w:val="0"/>
        <w:wordWrap/>
        <w:overflowPunct w:val="0"/>
        <w:topLinePunct w:val="0"/>
        <w:autoSpaceDE w:val="0"/>
        <w:autoSpaceDN w:val="0"/>
        <w:bidi w:val="0"/>
        <w:adjustRightInd w:val="0"/>
        <w:snapToGrid w:val="0"/>
        <w:spacing w:line="360" w:lineRule="auto"/>
        <w:jc w:val="center"/>
        <w:textAlignment w:val="baseline"/>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注：本合同条款仅供参考之用，最终以甲乙双方共同拟定并协商一致的为准。</w:t>
      </w:r>
    </w:p>
    <w:p w14:paraId="68D05480">
      <w:pPr>
        <w:keepLines w:val="0"/>
        <w:pageBreakBefore w:val="0"/>
        <w:shd w:val="clear"/>
        <w:overflowPunct w:val="0"/>
        <w:topLinePunct w:val="0"/>
        <w:bidi w:val="0"/>
        <w:spacing w:line="560" w:lineRule="exact"/>
        <w:ind w:firstLine="420" w:firstLineChars="200"/>
        <w:jc w:val="center"/>
        <w:outlineLvl w:val="9"/>
        <w:rPr>
          <w:rFonts w:hint="eastAsia" w:ascii="仿宋" w:hAnsi="仿宋" w:eastAsia="仿宋" w:cs="仿宋"/>
          <w:color w:val="000000" w:themeColor="text1"/>
          <w:szCs w:val="22"/>
          <w:highlight w:val="none"/>
          <w14:textFill>
            <w14:solidFill>
              <w14:schemeClr w14:val="tx1"/>
            </w14:solidFill>
          </w14:textFill>
        </w:rPr>
      </w:pPr>
    </w:p>
    <w:p w14:paraId="001718D9">
      <w:pPr>
        <w:shd w:val="clear"/>
        <w:rPr>
          <w:rFonts w:hint="eastAsia" w:ascii="仿宋" w:hAnsi="仿宋" w:eastAsia="仿宋" w:cs="仿宋"/>
          <w:color w:val="000000" w:themeColor="text1"/>
          <w:szCs w:val="22"/>
          <w:highlight w:val="none"/>
          <w14:textFill>
            <w14:solidFill>
              <w14:schemeClr w14:val="tx1"/>
            </w14:solidFill>
          </w14:textFill>
        </w:rPr>
      </w:pPr>
    </w:p>
    <w:p w14:paraId="175862EB">
      <w:pPr>
        <w:shd w:val="clear"/>
        <w:rPr>
          <w:rFonts w:hint="eastAsia" w:ascii="仿宋" w:hAnsi="仿宋" w:eastAsia="仿宋" w:cs="仿宋"/>
          <w:color w:val="000000" w:themeColor="text1"/>
          <w:szCs w:val="22"/>
          <w:highlight w:val="none"/>
          <w14:textFill>
            <w14:solidFill>
              <w14:schemeClr w14:val="tx1"/>
            </w14:solidFill>
          </w14:textFill>
        </w:rPr>
      </w:pPr>
    </w:p>
    <w:p w14:paraId="5EC26BA2">
      <w:pPr>
        <w:shd w:val="clear"/>
        <w:rPr>
          <w:rFonts w:hint="eastAsia" w:ascii="仿宋" w:hAnsi="仿宋" w:eastAsia="仿宋" w:cs="仿宋"/>
          <w:color w:val="000000" w:themeColor="text1"/>
          <w:szCs w:val="22"/>
          <w:highlight w:val="none"/>
          <w14:textFill>
            <w14:solidFill>
              <w14:schemeClr w14:val="tx1"/>
            </w14:solidFill>
          </w14:textFill>
        </w:rPr>
      </w:pPr>
    </w:p>
    <w:p w14:paraId="3CA9BC26">
      <w:pPr>
        <w:shd w:val="clear"/>
        <w:rPr>
          <w:rFonts w:hint="eastAsia" w:ascii="仿宋" w:hAnsi="仿宋" w:eastAsia="仿宋" w:cs="仿宋"/>
          <w:color w:val="000000" w:themeColor="text1"/>
          <w:szCs w:val="22"/>
          <w:highlight w:val="none"/>
          <w14:textFill>
            <w14:solidFill>
              <w14:schemeClr w14:val="tx1"/>
            </w14:solidFill>
          </w14:textFill>
        </w:rPr>
      </w:pPr>
    </w:p>
    <w:p w14:paraId="11A2E51E">
      <w:pPr>
        <w:shd w:val="clear"/>
        <w:rPr>
          <w:rFonts w:hint="eastAsia" w:ascii="仿宋" w:hAnsi="仿宋" w:eastAsia="仿宋" w:cs="仿宋"/>
          <w:color w:val="000000" w:themeColor="text1"/>
          <w:szCs w:val="22"/>
          <w:highlight w:val="none"/>
          <w14:textFill>
            <w14:solidFill>
              <w14:schemeClr w14:val="tx1"/>
            </w14:solidFill>
          </w14:textFill>
        </w:rPr>
      </w:pPr>
    </w:p>
    <w:p w14:paraId="79BECE66">
      <w:pPr>
        <w:shd w:val="clear"/>
        <w:rPr>
          <w:rFonts w:hint="eastAsia" w:ascii="仿宋" w:hAnsi="仿宋" w:eastAsia="仿宋" w:cs="仿宋"/>
          <w:color w:val="000000" w:themeColor="text1"/>
          <w:szCs w:val="22"/>
          <w:highlight w:val="none"/>
          <w14:textFill>
            <w14:solidFill>
              <w14:schemeClr w14:val="tx1"/>
            </w14:solidFill>
          </w14:textFill>
        </w:rPr>
      </w:pPr>
    </w:p>
    <w:p w14:paraId="53D03F16">
      <w:pPr>
        <w:shd w:val="clear"/>
        <w:rPr>
          <w:rFonts w:hint="eastAsia" w:ascii="仿宋" w:hAnsi="仿宋" w:eastAsia="仿宋" w:cs="仿宋"/>
          <w:color w:val="000000" w:themeColor="text1"/>
          <w:szCs w:val="22"/>
          <w:highlight w:val="none"/>
          <w14:textFill>
            <w14:solidFill>
              <w14:schemeClr w14:val="tx1"/>
            </w14:solidFill>
          </w14:textFill>
        </w:rPr>
      </w:pPr>
    </w:p>
    <w:p w14:paraId="14458420">
      <w:pPr>
        <w:shd w:val="clear"/>
        <w:rPr>
          <w:rFonts w:hint="eastAsia" w:ascii="仿宋" w:hAnsi="仿宋" w:eastAsia="仿宋" w:cs="仿宋"/>
          <w:color w:val="000000" w:themeColor="text1"/>
          <w:szCs w:val="22"/>
          <w:highlight w:val="none"/>
          <w14:textFill>
            <w14:solidFill>
              <w14:schemeClr w14:val="tx1"/>
            </w14:solidFill>
          </w14:textFill>
        </w:rPr>
      </w:pPr>
    </w:p>
    <w:p w14:paraId="15C9A1F1">
      <w:pPr>
        <w:shd w:val="clear"/>
        <w:rPr>
          <w:rFonts w:hint="eastAsia" w:ascii="仿宋" w:hAnsi="仿宋" w:eastAsia="仿宋" w:cs="仿宋"/>
          <w:color w:val="000000" w:themeColor="text1"/>
          <w:szCs w:val="22"/>
          <w:highlight w:val="none"/>
          <w14:textFill>
            <w14:solidFill>
              <w14:schemeClr w14:val="tx1"/>
            </w14:solidFill>
          </w14:textFill>
        </w:rPr>
      </w:pPr>
    </w:p>
    <w:p w14:paraId="59C3CD7F">
      <w:pPr>
        <w:shd w:val="clear"/>
        <w:rPr>
          <w:rFonts w:hint="eastAsia" w:ascii="仿宋" w:hAnsi="仿宋" w:eastAsia="仿宋" w:cs="仿宋"/>
          <w:color w:val="000000" w:themeColor="text1"/>
          <w:szCs w:val="22"/>
          <w:highlight w:val="none"/>
          <w14:textFill>
            <w14:solidFill>
              <w14:schemeClr w14:val="tx1"/>
            </w14:solidFill>
          </w14:textFill>
        </w:rPr>
      </w:pPr>
    </w:p>
    <w:p w14:paraId="611E16B1">
      <w:pPr>
        <w:shd w:val="clear"/>
        <w:rPr>
          <w:rFonts w:hint="eastAsia" w:ascii="仿宋" w:hAnsi="仿宋" w:eastAsia="仿宋" w:cs="仿宋"/>
          <w:color w:val="000000" w:themeColor="text1"/>
          <w:szCs w:val="22"/>
          <w:highlight w:val="none"/>
          <w14:textFill>
            <w14:solidFill>
              <w14:schemeClr w14:val="tx1"/>
            </w14:solidFill>
          </w14:textFill>
        </w:rPr>
      </w:pPr>
    </w:p>
    <w:p w14:paraId="5F97C01E">
      <w:pPr>
        <w:shd w:val="clear"/>
        <w:rPr>
          <w:rFonts w:hint="eastAsia" w:ascii="仿宋" w:hAnsi="仿宋" w:eastAsia="仿宋" w:cs="仿宋"/>
          <w:color w:val="000000" w:themeColor="text1"/>
          <w:szCs w:val="22"/>
          <w:highlight w:val="none"/>
          <w14:textFill>
            <w14:solidFill>
              <w14:schemeClr w14:val="tx1"/>
            </w14:solidFill>
          </w14:textFill>
        </w:rPr>
      </w:pPr>
    </w:p>
    <w:p w14:paraId="348B2D3C">
      <w:pPr>
        <w:shd w:val="clear"/>
        <w:rPr>
          <w:rFonts w:hint="eastAsia" w:ascii="仿宋" w:hAnsi="仿宋" w:eastAsia="仿宋" w:cs="仿宋"/>
          <w:color w:val="000000" w:themeColor="text1"/>
          <w:szCs w:val="22"/>
          <w:highlight w:val="none"/>
          <w14:textFill>
            <w14:solidFill>
              <w14:schemeClr w14:val="tx1"/>
            </w14:solidFill>
          </w14:textFill>
        </w:rPr>
      </w:pPr>
    </w:p>
    <w:p w14:paraId="277D88D9">
      <w:pPr>
        <w:shd w:val="clear"/>
        <w:rPr>
          <w:rFonts w:hint="eastAsia" w:ascii="仿宋" w:hAnsi="仿宋" w:eastAsia="仿宋" w:cs="仿宋"/>
          <w:color w:val="000000" w:themeColor="text1"/>
          <w:szCs w:val="22"/>
          <w:highlight w:val="none"/>
          <w14:textFill>
            <w14:solidFill>
              <w14:schemeClr w14:val="tx1"/>
            </w14:solidFill>
          </w14:textFill>
        </w:rPr>
      </w:pPr>
    </w:p>
    <w:p w14:paraId="6130A83D">
      <w:pPr>
        <w:shd w:val="clear"/>
        <w:rPr>
          <w:rFonts w:hint="eastAsia" w:ascii="仿宋" w:hAnsi="仿宋" w:eastAsia="仿宋" w:cs="仿宋"/>
          <w:color w:val="000000" w:themeColor="text1"/>
          <w:szCs w:val="22"/>
          <w:highlight w:val="none"/>
          <w14:textFill>
            <w14:solidFill>
              <w14:schemeClr w14:val="tx1"/>
            </w14:solidFill>
          </w14:textFill>
        </w:rPr>
      </w:pPr>
    </w:p>
    <w:p w14:paraId="076BF6D2">
      <w:pPr>
        <w:shd w:val="clear"/>
        <w:rPr>
          <w:rFonts w:hint="eastAsia" w:ascii="仿宋" w:hAnsi="仿宋" w:eastAsia="仿宋" w:cs="仿宋"/>
          <w:color w:val="000000" w:themeColor="text1"/>
          <w:szCs w:val="22"/>
          <w:highlight w:val="none"/>
          <w14:textFill>
            <w14:solidFill>
              <w14:schemeClr w14:val="tx1"/>
            </w14:solidFill>
          </w14:textFill>
        </w:rPr>
      </w:pPr>
    </w:p>
    <w:p w14:paraId="7B8DAC97">
      <w:pPr>
        <w:keepNext w:val="0"/>
        <w:keepLines w:val="0"/>
        <w:pageBreakBefore w:val="0"/>
        <w:widowControl/>
        <w:shd w:val="clear"/>
        <w:kinsoku w:val="0"/>
        <w:wordWrap/>
        <w:overflowPunct w:val="0"/>
        <w:topLinePunct w:val="0"/>
        <w:autoSpaceDE w:val="0"/>
        <w:autoSpaceDN w:val="0"/>
        <w:bidi w:val="0"/>
        <w:adjustRightInd w:val="0"/>
        <w:snapToGrid w:val="0"/>
        <w:spacing w:line="560" w:lineRule="exact"/>
        <w:ind w:firstLine="643" w:firstLineChars="200"/>
        <w:jc w:val="left"/>
        <w:textAlignment w:val="baseline"/>
        <w:rPr>
          <w:rFonts w:hint="eastAsia" w:ascii="仿宋" w:hAnsi="仿宋" w:eastAsia="仿宋" w:cs="仿宋"/>
          <w:b/>
          <w:bCs/>
          <w:color w:val="000000" w:themeColor="text1"/>
          <w:sz w:val="32"/>
          <w:szCs w:val="32"/>
          <w:highlight w:val="none"/>
          <w14:textFill>
            <w14:solidFill>
              <w14:schemeClr w14:val="tx1"/>
            </w14:solidFill>
          </w14:textFill>
        </w:rPr>
      </w:pPr>
    </w:p>
    <w:p w14:paraId="103E94C8">
      <w:pPr>
        <w:keepNext w:val="0"/>
        <w:keepLines w:val="0"/>
        <w:pageBreakBefore w:val="0"/>
        <w:widowControl w:val="0"/>
        <w:shd w:val="clear"/>
        <w:kinsoku/>
        <w:wordWrap w:val="0"/>
        <w:overflowPunct w:val="0"/>
        <w:topLinePunct w:val="0"/>
        <w:autoSpaceDE w:val="0"/>
        <w:autoSpaceDN w:val="0"/>
        <w:bidi w:val="0"/>
        <w:adjustRightInd w:val="0"/>
        <w:snapToGrid w:val="0"/>
        <w:spacing w:line="560" w:lineRule="exact"/>
        <w:ind w:firstLine="1124" w:firstLineChars="400"/>
        <w:jc w:val="left"/>
        <w:textAlignment w:val="baseline"/>
        <w:rPr>
          <w:rFonts w:hint="eastAsia" w:ascii="仿宋" w:hAnsi="仿宋" w:eastAsia="仿宋" w:cs="仿宋"/>
          <w:b/>
          <w:color w:val="000000" w:themeColor="text1"/>
          <w:sz w:val="28"/>
          <w:szCs w:val="28"/>
          <w:highlight w:val="none"/>
          <w:lang w:val="en-US"/>
          <w14:textFill>
            <w14:solidFill>
              <w14:schemeClr w14:val="tx1"/>
            </w14:solidFill>
          </w14:textFill>
        </w:rPr>
      </w:pPr>
      <w:r>
        <w:rPr>
          <w:rFonts w:hint="eastAsia" w:ascii="仿宋" w:hAnsi="仿宋" w:eastAsia="仿宋" w:cs="仿宋"/>
          <w:b/>
          <w:color w:val="000000" w:themeColor="text1"/>
          <w:sz w:val="28"/>
          <w:szCs w:val="28"/>
          <w:highlight w:val="none"/>
          <w:lang w:val="en-US" w:eastAsia="zh-CN"/>
          <w14:textFill>
            <w14:solidFill>
              <w14:schemeClr w14:val="tx1"/>
            </w14:solidFill>
          </w14:textFill>
        </w:rPr>
        <w:t>甲方</w:t>
      </w:r>
      <w:r>
        <w:rPr>
          <w:rFonts w:hint="eastAsia" w:ascii="仿宋" w:hAnsi="仿宋" w:eastAsia="仿宋" w:cs="仿宋"/>
          <w:b/>
          <w:color w:val="000000" w:themeColor="text1"/>
          <w:sz w:val="28"/>
          <w:szCs w:val="28"/>
          <w:highlight w:val="none"/>
          <w14:textFill>
            <w14:solidFill>
              <w14:schemeClr w14:val="tx1"/>
            </w14:solidFill>
          </w14:textFill>
        </w:rPr>
        <w:t>（</w:t>
      </w:r>
      <w:r>
        <w:rPr>
          <w:rFonts w:hint="eastAsia" w:ascii="仿宋" w:hAnsi="仿宋" w:eastAsia="仿宋" w:cs="仿宋"/>
          <w:b/>
          <w:color w:val="000000" w:themeColor="text1"/>
          <w:sz w:val="28"/>
          <w:szCs w:val="28"/>
          <w:highlight w:val="none"/>
          <w:lang w:val="en-US" w:eastAsia="zh-CN"/>
          <w14:textFill>
            <w14:solidFill>
              <w14:schemeClr w14:val="tx1"/>
            </w14:solidFill>
          </w14:textFill>
        </w:rPr>
        <w:t>采购人</w:t>
      </w:r>
      <w:r>
        <w:rPr>
          <w:rFonts w:hint="eastAsia" w:ascii="仿宋" w:hAnsi="仿宋" w:eastAsia="仿宋" w:cs="仿宋"/>
          <w:b/>
          <w:color w:val="000000" w:themeColor="text1"/>
          <w:sz w:val="28"/>
          <w:szCs w:val="28"/>
          <w:highlight w:val="none"/>
          <w14:textFill>
            <w14:solidFill>
              <w14:schemeClr w14:val="tx1"/>
            </w14:solidFill>
          </w14:textFill>
        </w:rPr>
        <w:t>）：</w:t>
      </w:r>
      <w:r>
        <w:rPr>
          <w:rFonts w:hint="eastAsia" w:ascii="仿宋" w:hAnsi="仿宋" w:eastAsia="仿宋" w:cs="仿宋"/>
          <w:b/>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color w:val="000000" w:themeColor="text1"/>
          <w:sz w:val="28"/>
          <w:szCs w:val="28"/>
          <w:highlight w:val="none"/>
          <w:u w:val="single"/>
          <w:lang w:val="en-US" w:eastAsia="zh-CN"/>
          <w14:textFill>
            <w14:solidFill>
              <w14:schemeClr w14:val="tx1"/>
            </w14:solidFill>
          </w14:textFill>
        </w:rPr>
        <w:t xml:space="preserve">                         </w:t>
      </w:r>
    </w:p>
    <w:p w14:paraId="656DACBC">
      <w:pPr>
        <w:keepNext w:val="0"/>
        <w:keepLines w:val="0"/>
        <w:pageBreakBefore w:val="0"/>
        <w:widowControl w:val="0"/>
        <w:shd w:val="clear"/>
        <w:kinsoku/>
        <w:wordWrap w:val="0"/>
        <w:overflowPunct w:val="0"/>
        <w:topLinePunct w:val="0"/>
        <w:autoSpaceDE w:val="0"/>
        <w:autoSpaceDN w:val="0"/>
        <w:bidi w:val="0"/>
        <w:adjustRightInd w:val="0"/>
        <w:snapToGrid w:val="0"/>
        <w:spacing w:line="560" w:lineRule="exact"/>
        <w:ind w:firstLine="1124" w:firstLineChars="400"/>
        <w:jc w:val="left"/>
        <w:textAlignment w:val="baseline"/>
        <w:rPr>
          <w:rFonts w:hint="eastAsia" w:ascii="仿宋" w:hAnsi="仿宋" w:eastAsia="仿宋" w:cs="仿宋"/>
          <w:b/>
          <w:color w:val="000000" w:themeColor="text1"/>
          <w:sz w:val="28"/>
          <w:szCs w:val="28"/>
          <w:highlight w:val="none"/>
          <w:u w:val="single"/>
          <w14:textFill>
            <w14:solidFill>
              <w14:schemeClr w14:val="tx1"/>
            </w14:solidFill>
          </w14:textFill>
        </w:rPr>
      </w:pPr>
      <w:r>
        <w:rPr>
          <w:rFonts w:hint="eastAsia" w:ascii="仿宋" w:hAnsi="仿宋" w:eastAsia="仿宋" w:cs="仿宋"/>
          <w:b/>
          <w:color w:val="000000" w:themeColor="text1"/>
          <w:sz w:val="28"/>
          <w:szCs w:val="28"/>
          <w:highlight w:val="none"/>
          <w:lang w:val="en-US" w:eastAsia="zh-CN"/>
          <w14:textFill>
            <w14:solidFill>
              <w14:schemeClr w14:val="tx1"/>
            </w14:solidFill>
          </w14:textFill>
        </w:rPr>
        <w:t>乙方</w:t>
      </w:r>
      <w:r>
        <w:rPr>
          <w:rFonts w:hint="eastAsia" w:ascii="仿宋" w:hAnsi="仿宋" w:eastAsia="仿宋" w:cs="仿宋"/>
          <w:b/>
          <w:color w:val="000000" w:themeColor="text1"/>
          <w:sz w:val="28"/>
          <w:szCs w:val="28"/>
          <w:highlight w:val="none"/>
          <w14:textFill>
            <w14:solidFill>
              <w14:schemeClr w14:val="tx1"/>
            </w14:solidFill>
          </w14:textFill>
        </w:rPr>
        <w:t>（</w:t>
      </w:r>
      <w:r>
        <w:rPr>
          <w:rFonts w:hint="eastAsia" w:ascii="仿宋" w:hAnsi="仿宋" w:eastAsia="仿宋" w:cs="仿宋"/>
          <w:b/>
          <w:color w:val="000000" w:themeColor="text1"/>
          <w:sz w:val="28"/>
          <w:szCs w:val="28"/>
          <w:highlight w:val="none"/>
          <w:lang w:val="en-US" w:eastAsia="zh-CN"/>
          <w14:textFill>
            <w14:solidFill>
              <w14:schemeClr w14:val="tx1"/>
            </w14:solidFill>
          </w14:textFill>
        </w:rPr>
        <w:t>供应商</w:t>
      </w:r>
      <w:r>
        <w:rPr>
          <w:rFonts w:hint="eastAsia" w:ascii="仿宋" w:hAnsi="仿宋" w:eastAsia="仿宋" w:cs="仿宋"/>
          <w:b/>
          <w:color w:val="000000" w:themeColor="text1"/>
          <w:sz w:val="28"/>
          <w:szCs w:val="28"/>
          <w:highlight w:val="none"/>
          <w14:textFill>
            <w14:solidFill>
              <w14:schemeClr w14:val="tx1"/>
            </w14:solidFill>
          </w14:textFill>
        </w:rPr>
        <w:t>）：</w:t>
      </w:r>
      <w:r>
        <w:rPr>
          <w:rFonts w:hint="eastAsia" w:ascii="仿宋" w:hAnsi="仿宋" w:eastAsia="仿宋" w:cs="仿宋"/>
          <w:b/>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color w:val="000000" w:themeColor="text1"/>
          <w:sz w:val="28"/>
          <w:szCs w:val="28"/>
          <w:highlight w:val="none"/>
          <w:u w:val="single"/>
          <w:lang w:val="en-US" w:eastAsia="zh-CN"/>
          <w14:textFill>
            <w14:solidFill>
              <w14:schemeClr w14:val="tx1"/>
            </w14:solidFill>
          </w14:textFill>
        </w:rPr>
        <w:t xml:space="preserve">                         </w:t>
      </w:r>
    </w:p>
    <w:p w14:paraId="7A52942E">
      <w:pPr>
        <w:keepNext w:val="0"/>
        <w:keepLines w:val="0"/>
        <w:pageBreakBefore w:val="0"/>
        <w:widowControl w:val="0"/>
        <w:shd w:val="clear"/>
        <w:kinsoku/>
        <w:wordWrap w:val="0"/>
        <w:overflowPunct w:val="0"/>
        <w:topLinePunct w:val="0"/>
        <w:autoSpaceDE w:val="0"/>
        <w:autoSpaceDN w:val="0"/>
        <w:bidi w:val="0"/>
        <w:adjustRightInd w:val="0"/>
        <w:snapToGrid w:val="0"/>
        <w:spacing w:line="560" w:lineRule="exact"/>
        <w:ind w:firstLine="1124" w:firstLineChars="400"/>
        <w:jc w:val="left"/>
        <w:textAlignment w:val="baseline"/>
        <w:rPr>
          <w:rFonts w:hint="eastAsia" w:ascii="仿宋" w:hAnsi="仿宋" w:eastAsia="仿宋" w:cs="仿宋"/>
          <w:b/>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color w:val="000000" w:themeColor="text1"/>
          <w:sz w:val="28"/>
          <w:szCs w:val="28"/>
          <w:highlight w:val="none"/>
          <w:u w:val="none"/>
          <w:lang w:val="en-US" w:eastAsia="zh-CN"/>
          <w14:textFill>
            <w14:solidFill>
              <w14:schemeClr w14:val="tx1"/>
            </w14:solidFill>
          </w14:textFill>
        </w:rPr>
        <w:t>签  订  日  期：</w:t>
      </w:r>
      <w:r>
        <w:rPr>
          <w:rFonts w:hint="eastAsia" w:ascii="仿宋" w:hAnsi="仿宋" w:eastAsia="仿宋" w:cs="仿宋"/>
          <w:b/>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color w:val="000000" w:themeColor="text1"/>
          <w:sz w:val="28"/>
          <w:szCs w:val="28"/>
          <w:highlight w:val="none"/>
          <w:u w:val="single"/>
          <w:lang w:val="en-US" w:eastAsia="zh-CN"/>
          <w14:textFill>
            <w14:solidFill>
              <w14:schemeClr w14:val="tx1"/>
            </w14:solidFill>
          </w14:textFill>
        </w:rPr>
        <w:t xml:space="preserve">                         </w:t>
      </w:r>
    </w:p>
    <w:p w14:paraId="6ED40809">
      <w:pPr>
        <w:shd w:val="clear"/>
        <w:jc w:val="center"/>
        <w:rPr>
          <w:rFonts w:hint="eastAsia" w:ascii="仿宋" w:hAnsi="仿宋" w:eastAsia="仿宋" w:cs="仿宋"/>
          <w:color w:val="000000" w:themeColor="text1"/>
          <w:sz w:val="44"/>
          <w:szCs w:val="44"/>
          <w:highlight w:val="none"/>
          <w:lang w:val="en-US" w:eastAsia="zh-CN"/>
          <w14:textFill>
            <w14:solidFill>
              <w14:schemeClr w14:val="tx1"/>
            </w14:solidFill>
          </w14:textFill>
        </w:rPr>
      </w:pPr>
    </w:p>
    <w:p w14:paraId="31DF31A9">
      <w:pPr>
        <w:shd w:val="clear"/>
        <w:jc w:val="center"/>
        <w:rPr>
          <w:rFonts w:hint="eastAsia" w:ascii="仿宋" w:hAnsi="仿宋" w:eastAsia="仿宋" w:cs="仿宋"/>
          <w:color w:val="000000" w:themeColor="text1"/>
          <w:sz w:val="44"/>
          <w:szCs w:val="44"/>
          <w:highlight w:val="none"/>
          <w:lang w:val="en-US" w:eastAsia="zh-CN"/>
          <w14:textFill>
            <w14:solidFill>
              <w14:schemeClr w14:val="tx1"/>
            </w14:solidFill>
          </w14:textFill>
        </w:rPr>
      </w:pPr>
    </w:p>
    <w:p w14:paraId="627E9041">
      <w:pPr>
        <w:shd w:val="clear"/>
        <w:jc w:val="center"/>
        <w:rPr>
          <w:rFonts w:hint="eastAsia" w:ascii="仿宋" w:hAnsi="仿宋" w:eastAsia="仿宋" w:cs="仿宋"/>
          <w:color w:val="000000" w:themeColor="text1"/>
          <w:sz w:val="44"/>
          <w:szCs w:val="44"/>
          <w:highlight w:val="none"/>
          <w:lang w:val="en-US" w:eastAsia="zh-CN"/>
          <w14:textFill>
            <w14:solidFill>
              <w14:schemeClr w14:val="tx1"/>
            </w14:solidFill>
          </w14:textFill>
        </w:rPr>
      </w:pPr>
    </w:p>
    <w:p w14:paraId="3228BA04">
      <w:pPr>
        <w:shd w:val="clear"/>
        <w:jc w:val="center"/>
        <w:rPr>
          <w:rFonts w:hint="eastAsia" w:ascii="仿宋" w:hAnsi="仿宋" w:eastAsia="仿宋" w:cs="仿宋"/>
          <w:color w:val="000000" w:themeColor="text1"/>
          <w:sz w:val="44"/>
          <w:szCs w:val="44"/>
          <w:highlight w:val="none"/>
          <w:lang w:val="en-US" w:eastAsia="zh-CN"/>
          <w14:textFill>
            <w14:solidFill>
              <w14:schemeClr w14:val="tx1"/>
            </w14:solidFill>
          </w14:textFill>
        </w:rPr>
      </w:pPr>
    </w:p>
    <w:p w14:paraId="7D490179">
      <w:pPr>
        <w:shd w:val="clear"/>
        <w:jc w:val="center"/>
        <w:rPr>
          <w:rFonts w:hint="eastAsia" w:ascii="仿宋" w:hAnsi="仿宋" w:eastAsia="仿宋" w:cs="仿宋"/>
          <w:color w:val="000000" w:themeColor="text1"/>
          <w:sz w:val="44"/>
          <w:szCs w:val="44"/>
          <w:highlight w:val="none"/>
          <w:lang w:val="en-US" w:eastAsia="zh-CN"/>
          <w14:textFill>
            <w14:solidFill>
              <w14:schemeClr w14:val="tx1"/>
            </w14:solidFill>
          </w14:textFill>
        </w:rPr>
      </w:pPr>
    </w:p>
    <w:p w14:paraId="5B678C4E">
      <w:pPr>
        <w:shd w:val="clear"/>
        <w:jc w:val="center"/>
        <w:rPr>
          <w:rFonts w:hint="eastAsia" w:ascii="仿宋" w:hAnsi="仿宋" w:eastAsia="仿宋" w:cs="仿宋"/>
          <w:color w:val="000000" w:themeColor="text1"/>
          <w:sz w:val="36"/>
          <w:szCs w:val="36"/>
          <w:highlight w:val="none"/>
          <w:lang w:val="en-US" w:eastAsia="zh-CN"/>
          <w14:textFill>
            <w14:solidFill>
              <w14:schemeClr w14:val="tx1"/>
            </w14:solidFill>
          </w14:textFill>
        </w:rPr>
      </w:pPr>
      <w:r>
        <w:rPr>
          <w:rFonts w:hint="eastAsia" w:ascii="仿宋" w:hAnsi="仿宋" w:eastAsia="仿宋" w:cs="仿宋"/>
          <w:color w:val="000000" w:themeColor="text1"/>
          <w:sz w:val="36"/>
          <w:szCs w:val="36"/>
          <w:highlight w:val="none"/>
          <w:lang w:val="en-US" w:eastAsia="zh-CN"/>
          <w14:textFill>
            <w14:solidFill>
              <w14:schemeClr w14:val="tx1"/>
            </w14:solidFill>
          </w14:textFill>
        </w:rPr>
        <w:t>铜川市王益区政府机关灶劳务外包服务项目</w:t>
      </w:r>
    </w:p>
    <w:p w14:paraId="14D85199">
      <w:pPr>
        <w:shd w:val="clear"/>
        <w:jc w:val="center"/>
        <w:rPr>
          <w:rFonts w:hint="eastAsia" w:ascii="仿宋" w:hAnsi="仿宋" w:eastAsia="仿宋" w:cs="仿宋"/>
          <w:color w:val="000000" w:themeColor="text1"/>
          <w:sz w:val="36"/>
          <w:szCs w:val="36"/>
          <w:highlight w:val="none"/>
          <w:lang w:val="en-US" w:eastAsia="zh-CN"/>
          <w14:textFill>
            <w14:solidFill>
              <w14:schemeClr w14:val="tx1"/>
            </w14:solidFill>
          </w14:textFill>
        </w:rPr>
      </w:pPr>
      <w:r>
        <w:rPr>
          <w:rFonts w:hint="eastAsia" w:ascii="仿宋" w:hAnsi="仿宋" w:eastAsia="仿宋" w:cs="仿宋"/>
          <w:color w:val="000000" w:themeColor="text1"/>
          <w:sz w:val="36"/>
          <w:szCs w:val="36"/>
          <w:highlight w:val="none"/>
          <w:lang w:val="en-US" w:eastAsia="zh-CN"/>
          <w14:textFill>
            <w14:solidFill>
              <w14:schemeClr w14:val="tx1"/>
            </w14:solidFill>
          </w14:textFill>
        </w:rPr>
        <w:t>服务合同</w:t>
      </w:r>
    </w:p>
    <w:p w14:paraId="152108FA">
      <w:pPr>
        <w:shd w:val="clea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p>
    <w:p w14:paraId="7CA0BE12">
      <w:pPr>
        <w:keepNext w:val="0"/>
        <w:keepLines w:val="0"/>
        <w:pageBreakBefore w:val="0"/>
        <w:widowControl w:val="0"/>
        <w:shd w:val="clear"/>
        <w:kinsoku/>
        <w:wordWrap/>
        <w:overflowPunct/>
        <w:topLinePunct w:val="0"/>
        <w:autoSpaceDE/>
        <w:autoSpaceDN/>
        <w:bidi w:val="0"/>
        <w:adjustRightInd w:val="0"/>
        <w:snapToGrid w:val="0"/>
        <w:spacing w:line="580" w:lineRule="atLeast"/>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甲方（采购人）：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铜川市王益区机关事务管理服务中心</w:t>
      </w:r>
    </w:p>
    <w:p w14:paraId="3657CA23">
      <w:pPr>
        <w:keepNext w:val="0"/>
        <w:keepLines w:val="0"/>
        <w:pageBreakBefore w:val="0"/>
        <w:widowControl w:val="0"/>
        <w:shd w:val="clear"/>
        <w:kinsoku/>
        <w:wordWrap/>
        <w:overflowPunct/>
        <w:topLinePunct w:val="0"/>
        <w:autoSpaceDE/>
        <w:autoSpaceDN/>
        <w:bidi w:val="0"/>
        <w:adjustRightInd w:val="0"/>
        <w:snapToGrid w:val="0"/>
        <w:spacing w:line="580" w:lineRule="atLeas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乙方（供应商）</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p w14:paraId="3D9E9F50">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根据《中华人民共和国政府采购法》及实施条例、《中华人民共和国民法典》</w:t>
      </w:r>
      <w:r>
        <w:rPr>
          <w:rFonts w:hint="eastAsia" w:ascii="仿宋" w:hAnsi="仿宋" w:eastAsia="仿宋" w:cs="仿宋"/>
          <w:color w:val="000000" w:themeColor="text1"/>
          <w:sz w:val="28"/>
          <w:szCs w:val="28"/>
          <w:highlight w:val="none"/>
          <w:lang w:val="en-US" w:eastAsia="zh-CN"/>
          <w14:textFill>
            <w14:solidFill>
              <w14:schemeClr w14:val="tx1"/>
            </w14:solidFill>
          </w14:textFill>
        </w:rPr>
        <w:t>及有关法律、法规规定，甲乙双方经友好协商，本着平等自愿、诚实守信、互惠互利的原则，就乙方承接</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铜川市王益区政府机关灶劳务外包服务项目</w:t>
      </w:r>
      <w:r>
        <w:rPr>
          <w:rFonts w:hint="eastAsia" w:ascii="仿宋" w:hAnsi="仿宋" w:eastAsia="仿宋" w:cs="仿宋"/>
          <w:color w:val="000000" w:themeColor="text1"/>
          <w:sz w:val="28"/>
          <w:szCs w:val="28"/>
          <w:highlight w:val="none"/>
          <w:lang w:val="en-US" w:eastAsia="zh-CN"/>
          <w14:textFill>
            <w14:solidFill>
              <w14:schemeClr w14:val="tx1"/>
            </w14:solidFill>
          </w14:textFill>
        </w:rPr>
        <w:t>有关事宜，达成如下合同条款，以供双方履行。</w:t>
      </w:r>
    </w:p>
    <w:p w14:paraId="06FF6CFE">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一、项目内容</w:t>
      </w:r>
    </w:p>
    <w:p w14:paraId="1EE204F1">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1、项目名称：铜川市王益区政府机关灶劳务外包服务项目。</w:t>
      </w:r>
    </w:p>
    <w:p w14:paraId="3E5FE1AC">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2、项目内容：</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铜川市王益区政府机关灶劳务外包服务项目，以自助餐形式供餐，就餐人数（上年度平均就餐人数早餐130人，午餐270人，晚餐90人）。采购人提供水、电、气、暖费用并支付中标供应商劳务费用（包括人员工资（劳务费）、管理费），供应商提供食材采购。工作人员机关灶就餐，按照早餐4元、午餐5元、晚餐3元标准，收取就餐费用；公务接待参照市场平均但低于市场行情价、且符合国家规定接待标准执行。 中标供应商需全额完成机关餐厅年扶贫采购任务，接受委托后不得再转包或者分包。 </w:t>
      </w:r>
    </w:p>
    <w:p w14:paraId="2A62DF48">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二、服务标准</w:t>
      </w:r>
    </w:p>
    <w:p w14:paraId="44328D96">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（一）供餐质量标准</w:t>
      </w:r>
    </w:p>
    <w:p w14:paraId="12C77822">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1、早餐不得少于：2种主食（馒头、花卷等）、4道主菜（1荤3素）、1-2道小菜、2种稀饭、1种奶制品或豆制饮品交替供应； </w:t>
      </w:r>
    </w:p>
    <w:p w14:paraId="0F467DED">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2、午餐不得少于：3种主食（米饭、馒头、面条等）、6道主菜（2荤4素）、1个汤品、1种时令水果； </w:t>
      </w:r>
    </w:p>
    <w:p w14:paraId="3CC260B6">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3、晚餐不得少于：2种主食（米饭、馒头、面条等）、4道主菜（1荤3素）、2道小菜、1个汤品。 。</w:t>
      </w:r>
    </w:p>
    <w:p w14:paraId="18821D3A">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4、其他：</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其他要求双方签订合同时约定</w:t>
      </w:r>
    </w:p>
    <w:p w14:paraId="163835EC">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（二）食品安全标准</w:t>
      </w:r>
    </w:p>
    <w:p w14:paraId="59B15AF8">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1、严格遵守《食品安全法》各项规定，《健康证》在醒目处公示； 从业人员着装规范，卫生整洁，语言、行为得体，无靠门、依墙现象；餐具消毒，摆放有序。</w:t>
      </w:r>
    </w:p>
    <w:p w14:paraId="20344EF8">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工作场所的环境符合卫生规范，每天做好三餐操作间、餐厅、库房、办公周围等所有工作场地的卫生清洁，每周一次大扫除（包括但不限于：桌面、地面、门窗、墙面、灯饰等），重要接待按要求及时专项清理、准备。</w:t>
      </w:r>
    </w:p>
    <w:p w14:paraId="0393A052">
      <w:pPr>
        <w:keepNext w:val="0"/>
        <w:keepLines w:val="0"/>
        <w:pageBreakBefore w:val="0"/>
        <w:widowControl w:val="0"/>
        <w:shd w:val="clear"/>
        <w:kinsoku/>
        <w:wordWrap/>
        <w:overflowPunct/>
        <w:topLinePunct w:val="0"/>
        <w:autoSpaceDE/>
        <w:autoSpaceDN/>
        <w:bidi w:val="0"/>
        <w:adjustRightInd w:val="0"/>
        <w:snapToGrid w:val="0"/>
        <w:spacing w:line="580" w:lineRule="atLeast"/>
        <w:ind w:firstLine="280" w:firstLineChars="1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3、持续开展日常灭蝇、灭蚊、灭鼠、灭蟑等除“四害”工作，坚决杜绝餐厅出现蝇、蚊、鼠、蟑现象，生熟食品存放符合卫生规范，确保食品存储安全。</w:t>
      </w:r>
    </w:p>
    <w:p w14:paraId="7419A652">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（三）安全生产标准</w:t>
      </w:r>
    </w:p>
    <w:p w14:paraId="4AFEC28C">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餐厅用工，应严格按照《劳动法》相关规定执行，禁止招收未成年及不符合餐饮要求人员上岗，做好招聘人员资格审查，杜绝精神类、违法在逃类及存在各类综治安全隐患或易诱发安全隐患人员在岗，确保餐厅用工安全。</w:t>
      </w:r>
    </w:p>
    <w:p w14:paraId="2D40F651">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2、餐厅工作人员应严格按照工艺流程和操作规程作业，确保水、电、气、暖及厨房设备安全使用，杜绝安全事故发生。</w:t>
      </w:r>
    </w:p>
    <w:p w14:paraId="0D20C9BF">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3、定期开展人员安全教育和餐厅设施安全检查并做好检查记录，且有相关资料留存并提交至甲方一份，发现问题及时处置，杜绝安全隐患。</w:t>
      </w:r>
    </w:p>
    <w:p w14:paraId="09756E22">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4、制定切合实际的食品安全及安全生产应急预案，确保安全事故发生的处置及时有效。</w:t>
      </w:r>
    </w:p>
    <w:p w14:paraId="0DCF7453">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（四）接待保障标准</w:t>
      </w:r>
    </w:p>
    <w:p w14:paraId="0722C8B1">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1、制定合理接待用餐标准，设置餐谱，明码标价，单品菜价格不高于例如多乐、新区葫芦头店等同类餐厅单品菜价格的8.8折。</w:t>
      </w:r>
    </w:p>
    <w:p w14:paraId="0681ACA5">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2、努力提升接待水平，制定分工细致、环节紧密、把关严格的接待方案，确保饭菜质量，做到特色、精细、合规。</w:t>
      </w:r>
    </w:p>
    <w:p w14:paraId="72EFF433">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3、不断提高服务水平，做到接待服务流程化、行为规范化、仪表统一化，坚决杜绝接待与供餐冲突，影响保障工作。</w:t>
      </w:r>
    </w:p>
    <w:p w14:paraId="3ABC5E6B">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三、合同期限：</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服务期限三年                 </w:t>
      </w:r>
    </w:p>
    <w:p w14:paraId="000474D0">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四、劳务费结算</w:t>
      </w:r>
    </w:p>
    <w:p w14:paraId="2A15DFB4">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1、人员配置</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p>
    <w:p w14:paraId="19443A0D">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2、劳务费金额：</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p w14:paraId="71CF1A45">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jc w:val="left"/>
        <w:textAlignment w:val="auto"/>
        <w:outlineLvl w:val="1"/>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3、支付约定：（1）付款条件说明：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中标人提供的服务及饭菜经采购人月度考核后，根据考核结果核算劳务费，劳务费用按月支付，下月支付上月费用。</w:t>
      </w:r>
    </w:p>
    <w:p w14:paraId="36CD69DD">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本合同期内劳务费用以上期就餐人数(上年度平均就餐人数早餐130人，午餐270人，晚餐90人)为基数。如本期就餐人数（以个人刷卡记录为准）超出上期人数30%以内，不改变劳务承包费用；如就餐人数超过上期30%，按超出部分实际刷卡金额1:1增加劳务费，但期间不再考虑物价上涨等因素。如本期就餐人数减少，超过上期10%，则按减少比例的1:2扣除劳务承包费用（即，每减少1元个人刷卡收入，则扣除2元劳务外包费用）。</w:t>
      </w:r>
    </w:p>
    <w:p w14:paraId="70C5A1EA">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（3）在规定时间内全额完成上级下达的机关餐厅全年扶贫采购任务。</w:t>
      </w:r>
    </w:p>
    <w:p w14:paraId="268D3339">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（4）职工就餐刷卡收费标准：早餐4元、中餐5元、晚餐3元。对口接待费用由承包商自行向对接对口接待单位收取，盈利用于机关餐厅食材补贴，接待标准按照中、省、市、区公务接待管理规定执行。</w:t>
      </w:r>
    </w:p>
    <w:p w14:paraId="1E0F9266">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五、权利和义务</w:t>
      </w:r>
    </w:p>
    <w:p w14:paraId="5A0276D8">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xml:space="preserve">（一）甲方的权利和义务 </w:t>
      </w:r>
    </w:p>
    <w:p w14:paraId="4C7E614B">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1、甲方的权利 </w:t>
      </w:r>
    </w:p>
    <w:p w14:paraId="3FC4F783">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(1)甲方有权对乙方的承包业务按照本合同中的服务标准进行监督、检查，根据考核管理办法对餐厅服务进行考核，依据考核结果支付承包费用（详见考核表及考核办法）。 </w:t>
      </w:r>
    </w:p>
    <w:p w14:paraId="460D3000">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(2)甲方有权对乙方承包业务的不足之处，提出整改意见和要求，责令限期整改，并监督乙方执行，如乙方拒不整改且造成严重后果，甲方有权终止承包合同或收取违约金。 </w:t>
      </w:r>
    </w:p>
    <w:p w14:paraId="56236D72">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(3)甲方有权要求乙方严格执行安全生产标准，遵守安全操作规章制度、并对乙方履行安全操作职责情况进行监督、考核。</w:t>
      </w:r>
    </w:p>
    <w:p w14:paraId="3E0D9BA9">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(4)发生事故后，甲方有权根据有关规定组织、参与事故的调查，有权对乙方事故进行统计上报。 </w:t>
      </w:r>
    </w:p>
    <w:p w14:paraId="75934655">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(5)甲方有权对乙方执行国家劳动用工相关规定情况进行检查，并对存在问题要求整改。</w:t>
      </w:r>
    </w:p>
    <w:p w14:paraId="177AEEEA">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(6)甲方有权根据合同标准和要求，检查监督乙方员工配备数量、厨师等级和资质，并对存在问题要求整改。</w:t>
      </w:r>
    </w:p>
    <w:p w14:paraId="1B474A68">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(7)甲方有权对乙方员工随时进行身体健康证检查，对乙方违反规定无证上岗人员有权责成乙方相关人员退出本项目或重新委派人员。</w:t>
      </w:r>
    </w:p>
    <w:p w14:paraId="384DC6AB">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2、甲方的义务 </w:t>
      </w:r>
    </w:p>
    <w:p w14:paraId="40AE2F37">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(1)为乙方服务人员提供符合国家安全的工作场所。</w:t>
      </w:r>
    </w:p>
    <w:p w14:paraId="29CAF604">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(2)负责按照结算方式、结算时间足额向乙方支付承包业务服务费用。</w:t>
      </w:r>
    </w:p>
    <w:p w14:paraId="69247412">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(3)配合乙方开展对其员工进行消防、设备安全操作、治安防范与自我规范的基本知识教育。</w:t>
      </w:r>
    </w:p>
    <w:p w14:paraId="28812642">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(4)协助乙方处理紧急、突发事件。</w:t>
      </w:r>
    </w:p>
    <w:p w14:paraId="1ED72885">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(5)餐厅各种设备正常损耗的维修、维护。</w:t>
      </w:r>
    </w:p>
    <w:p w14:paraId="67B370A9">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xml:space="preserve">(二)乙方的权利和义务 </w:t>
      </w:r>
    </w:p>
    <w:p w14:paraId="3CCE00AE">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1、乙方的权利</w:t>
      </w:r>
    </w:p>
    <w:p w14:paraId="66C435C8">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(1)乙方有权要求甲方按合同约定及时、足额支付业务承包费。</w:t>
      </w:r>
    </w:p>
    <w:p w14:paraId="6B32E612">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(2)对甲方的违章指挥、强令冒险作业，有权拒绝执行;对由此而产生的打击报复行为，有权向上级或有关部门举报。</w:t>
      </w:r>
    </w:p>
    <w:p w14:paraId="57B68D1C">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(3)乙方有权按照合同约定，要求甲方提供符合国家安全规定的经营场所和条件。 </w:t>
      </w:r>
    </w:p>
    <w:p w14:paraId="452C7372">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2、乙方的义务 </w:t>
      </w:r>
    </w:p>
    <w:p w14:paraId="02C527E6">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(1)乙方负责职工食堂燃气、消防、水电的安全管理，确保不出现安全事故，因违反相关部门要求而遭到处罚，责任由乙方承担，由此造成事故及甲方、第三方损失的，由乙方负责赔偿并承担相关法律责任。</w:t>
      </w:r>
    </w:p>
    <w:p w14:paraId="65595F78">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(2)严格遵守中央“八项规定”，在公务接待中坚持“定额供餐、明码标价、成本核算、经济实惠”的原则，严格执行《铜川市王益区党政机关公务接待管理暂行规定》，做好接待，及时完善接待手续。</w:t>
      </w:r>
    </w:p>
    <w:p w14:paraId="5E210B60">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(3)服务期内，非因甲方责任的乙方人员出现的各类事故由乙方负全责，甲方保留向乙方追究责任的权力。 </w:t>
      </w:r>
    </w:p>
    <w:p w14:paraId="7973DCF0">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(4)服务期内，因乙方原因导致就餐人员发生各类事故，责任由乙方承担，甲方保留向乙方追究责任的权力。</w:t>
      </w:r>
    </w:p>
    <w:p w14:paraId="2106DBEA">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(5)乙方负责处理好承包业务的对外协调、接待等工作，不得因此影响餐厅正常就餐秩序。</w:t>
      </w:r>
    </w:p>
    <w:p w14:paraId="46E3AC2C">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(6)乙方人员应爱惜甲方交付乙方承包使用的厨灶、厨具、餐具和各种设施设备，认真搞好日常维护保养，严格操作规程，不得违规操作。设施设备维修实行责任制，做到谁使用、谁负责，谁损坏、谁维修(自然耗损除外)，凡因违规使用或保养不及时等人为因素造成厨灶、厨具、餐具及其他设设施备故障或损坏的，由乙方承担维修或赔偿费用。凡故意损坏的，除按价赔偿外，甲方可对乙方做出物品相应价格的1.5倍的处罚。如需添加餐厅餐具、用具、厨卫设备等，乙方需向甲方提出申请并及时报备，经甲方同意后购买配备。 </w:t>
      </w:r>
    </w:p>
    <w:p w14:paraId="3926DD96">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(7)乙方应依法用工，及时支付乙方人员劳动报酬，并独立承担由此引发的劳资纠纷，乙方不得因劳资纠纷等任何原因延误为甲方供餐，如有延误甲方保留向乙方追责的权利。</w:t>
      </w:r>
    </w:p>
    <w:p w14:paraId="10D5A33A">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(8)乙方负责具体实施所承包区的消防、病媒防治消杀、油烟检测、油烟治理等工作，甲方有权对乙方落实情况进行监督，并对发现问题要求整改。</w:t>
      </w:r>
    </w:p>
    <w:p w14:paraId="279964C6">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(9)乙方必须制定安全生产事故应急预案、急救预案和紧急事故处置预案并报甲方留存备案。</w:t>
      </w:r>
    </w:p>
    <w:p w14:paraId="6D86417F">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(10)双方在履行本合同期间，因乙方的原因导致就餐延误 30分钟及以上，如在一个月内发生两次及以上的，甲方有权对乙方做出扣除不低于当月刷卡金额1.5倍的处罚。</w:t>
      </w:r>
    </w:p>
    <w:p w14:paraId="5BBE3AE5">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(11)乙方需配合甲方完成每年以</w:t>
      </w:r>
      <w:r>
        <w:rPr>
          <w:rFonts w:hint="eastAsia" w:ascii="仿宋" w:hAnsi="仿宋" w:eastAsia="仿宋" w:cs="仿宋"/>
          <w:color w:val="000000" w:themeColor="text1"/>
          <w:sz w:val="28"/>
          <w:szCs w:val="28"/>
          <w:highlight w:val="none"/>
          <w14:textFill>
            <w14:solidFill>
              <w14:schemeClr w14:val="tx1"/>
            </w14:solidFill>
          </w14:textFill>
        </w:rPr>
        <w:t>世界粮食日为契机，在</w:t>
      </w:r>
      <w:r>
        <w:rPr>
          <w:rFonts w:hint="eastAsia" w:ascii="仿宋" w:hAnsi="仿宋" w:eastAsia="仿宋" w:cs="仿宋"/>
          <w:color w:val="000000" w:themeColor="text1"/>
          <w:sz w:val="28"/>
          <w:szCs w:val="28"/>
          <w:highlight w:val="none"/>
          <w:lang w:val="en-US" w:eastAsia="zh-CN"/>
          <w14:textFill>
            <w14:solidFill>
              <w14:schemeClr w14:val="tx1"/>
            </w14:solidFill>
          </w14:textFill>
        </w:rPr>
        <w:t>机</w:t>
      </w:r>
      <w:r>
        <w:rPr>
          <w:rFonts w:hint="eastAsia" w:ascii="仿宋" w:hAnsi="仿宋" w:eastAsia="仿宋" w:cs="仿宋"/>
          <w:color w:val="000000" w:themeColor="text1"/>
          <w:sz w:val="28"/>
          <w:szCs w:val="28"/>
          <w:highlight w:val="none"/>
          <w14:textFill>
            <w14:solidFill>
              <w14:schemeClr w14:val="tx1"/>
            </w14:solidFill>
          </w14:textFill>
        </w:rPr>
        <w:t>关</w:t>
      </w:r>
      <w:r>
        <w:rPr>
          <w:rFonts w:hint="eastAsia" w:ascii="仿宋" w:hAnsi="仿宋" w:eastAsia="仿宋" w:cs="仿宋"/>
          <w:color w:val="000000" w:themeColor="text1"/>
          <w:sz w:val="28"/>
          <w:szCs w:val="28"/>
          <w:highlight w:val="none"/>
          <w:lang w:val="en-US" w:eastAsia="zh-CN"/>
          <w14:textFill>
            <w14:solidFill>
              <w14:schemeClr w14:val="tx1"/>
            </w14:solidFill>
          </w14:textFill>
        </w:rPr>
        <w:t>餐厅</w:t>
      </w:r>
      <w:r>
        <w:rPr>
          <w:rFonts w:hint="eastAsia" w:ascii="仿宋" w:hAnsi="仿宋" w:eastAsia="仿宋" w:cs="仿宋"/>
          <w:color w:val="000000" w:themeColor="text1"/>
          <w:sz w:val="28"/>
          <w:szCs w:val="28"/>
          <w:highlight w:val="none"/>
          <w14:textFill>
            <w14:solidFill>
              <w14:schemeClr w14:val="tx1"/>
            </w14:solidFill>
          </w14:textFill>
        </w:rPr>
        <w:t>开展</w:t>
      </w:r>
      <w:r>
        <w:rPr>
          <w:rFonts w:hint="eastAsia" w:ascii="仿宋" w:hAnsi="仿宋" w:eastAsia="仿宋" w:cs="仿宋"/>
          <w:color w:val="000000" w:themeColor="text1"/>
          <w:sz w:val="28"/>
          <w:szCs w:val="28"/>
          <w:highlight w:val="none"/>
          <w:lang w:val="en-US" w:eastAsia="zh-CN"/>
          <w14:textFill>
            <w14:solidFill>
              <w14:schemeClr w14:val="tx1"/>
            </w14:solidFill>
          </w14:textFill>
        </w:rPr>
        <w:t>文明就餐、</w:t>
      </w:r>
      <w:r>
        <w:rPr>
          <w:rFonts w:hint="eastAsia" w:ascii="仿宋" w:hAnsi="仿宋" w:eastAsia="仿宋" w:cs="仿宋"/>
          <w:color w:val="000000" w:themeColor="text1"/>
          <w:sz w:val="28"/>
          <w:szCs w:val="28"/>
          <w:highlight w:val="none"/>
          <w14:textFill>
            <w14:solidFill>
              <w14:schemeClr w14:val="tx1"/>
            </w14:solidFill>
          </w14:textFill>
        </w:rPr>
        <w:t>节约粮食</w:t>
      </w:r>
      <w:r>
        <w:rPr>
          <w:rFonts w:hint="eastAsia" w:ascii="仿宋" w:hAnsi="仿宋" w:eastAsia="仿宋" w:cs="仿宋"/>
          <w:color w:val="000000" w:themeColor="text1"/>
          <w:sz w:val="28"/>
          <w:szCs w:val="28"/>
          <w:highlight w:val="none"/>
          <w:lang w:val="en-US" w:eastAsia="zh-CN"/>
          <w14:textFill>
            <w14:solidFill>
              <w14:schemeClr w14:val="tx1"/>
            </w14:solidFill>
          </w14:textFill>
        </w:rPr>
        <w:t>的一系列</w:t>
      </w:r>
      <w:r>
        <w:rPr>
          <w:rFonts w:hint="eastAsia" w:ascii="仿宋" w:hAnsi="仿宋" w:eastAsia="仿宋" w:cs="仿宋"/>
          <w:color w:val="000000" w:themeColor="text1"/>
          <w:sz w:val="28"/>
          <w:szCs w:val="28"/>
          <w:highlight w:val="none"/>
          <w14:textFill>
            <w14:solidFill>
              <w14:schemeClr w14:val="tx1"/>
            </w14:solidFill>
          </w14:textFill>
        </w:rPr>
        <w:t>活动</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14:paraId="39C152FF">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(12)乙方应当向所属员工提供符合《中华人民共和国食品安全法》要求的工作服，乙方员工在工作区域工作时，必须穿着统一工作服。</w:t>
      </w:r>
    </w:p>
    <w:p w14:paraId="5CAE37CE">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(13)乙方应当严格执行安全法律法规，建立健全劳动安全各项规章制度，并对员工进行岗前安全教育和技能等培训，使其符合上岗的要求，具备相应的职业技能和业务素质。                                                    </w:t>
      </w:r>
    </w:p>
    <w:p w14:paraId="40658265">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(14)乙方负责及时处理厨房和餐厅的残渣剩饭，厨房作业中产生的垃圾处置符合国家规定。餐厅废水、废气、废弃物的排放、乙方处置方法应符合国家及地方相关环保法律法规规定，不得扔在院内。</w:t>
      </w:r>
    </w:p>
    <w:p w14:paraId="3661EA52">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(15)乙方必须自觉接受甲方的监督和指导，依法经营，不得将职工餐厅餐具和专用餐具随意带出或借用，认真履行合同。 </w:t>
      </w:r>
    </w:p>
    <w:p w14:paraId="1D5A4493">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(16)乙方需遵守反食品浪费管理制度，对餐厅水、电进行节约使用，不可有意过度使用。 </w:t>
      </w:r>
    </w:p>
    <w:p w14:paraId="2D6B77EB">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(17)乙方负责相关税费的代缴代扣，出具正规的符合甲方要求的正式发票。</w:t>
      </w:r>
    </w:p>
    <w:p w14:paraId="56DC3EE3">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六、合同的履行、变更、解除、终止、续定</w:t>
      </w:r>
    </w:p>
    <w:p w14:paraId="12F63654">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甲、乙双方应按本合同的约定全面履行各自的义务;在本合同履行过程中，若发生双方企业名称、法定代表人或者主要负责人、投资人变更以及双方企业合并或者分立等事项，发生变更、合并、分立的一方应及时书面通知对方，本合同的效力不因此受到影响，本合同继续履行。</w:t>
      </w:r>
    </w:p>
    <w:p w14:paraId="28014B8F">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2、本合同在履行过程中，一方提出变更本合同内容的，应当与对方进行协商，在双方协商一致的情况下，可对有关内容进行变更，并签订补充协议，补充协议与本合同条款具有同等法律效力。</w:t>
      </w:r>
    </w:p>
    <w:p w14:paraId="4E43411B">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3、除本合同其它条款的约定外，如双方中任何一方提出终止本合同，应当提前30日以书面通知对方，并应说明终止本合同的事实和理由,在收到对方同意解除本合同的书面通知之日起，本合同终止。 </w:t>
      </w:r>
    </w:p>
    <w:p w14:paraId="43B0CBFF">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本合同在履行过程中，若出现国家重大政策改变或不可抗力等因素导致本合同不能履行时、合同自行终止，但提出终止合同的一方应当及时告知对方国家重大政策改变的内容或不可抗力等因素的事实，并对终止合同的事由承担举证责任。无影响原合同继续履行的重大变化包括(但不仅限于):(1)物价及人员工资发生重大变化，影响原合同内容实现的公平性;(2)就餐人数发生重大变化，原合同约定条款不再适合;(3)原合同条款与新执行的各级规定相冲突;(4)机关餐厅经营模式发生调整;(5)其他未预见情形出现，仍按原合同执行，将可能造成任意一方权益受损的;(6)法律法规规定的其他情形。</w:t>
      </w:r>
    </w:p>
    <w:p w14:paraId="2AC2FEAF">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5、甲方应当在合同终止之日结清乙方的承包服务费用，乙方应当在合同终止之日从甲方撤离其相关人员，并向甲方移交全部承包资产设备，清算财务手续，清理餐厅卫生，办理交接手续等。</w:t>
      </w:r>
    </w:p>
    <w:p w14:paraId="7D54868F">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6、劳务费按照每月考核结果逐月支付。</w:t>
      </w:r>
    </w:p>
    <w:p w14:paraId="149CBF21">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xml:space="preserve">七、考核办法 </w:t>
      </w:r>
    </w:p>
    <w:p w14:paraId="532E0EDF">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1）每周四餐厅向中心办公室编报下周菜单，中心办公室审核后在服务小程序中公开；</w:t>
      </w:r>
    </w:p>
    <w:p w14:paraId="35E9C6FB">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bookmarkStart w:id="1" w:name="_GoBack"/>
      <w:r>
        <w:rPr>
          <w:rFonts w:hint="eastAsia" w:ascii="仿宋" w:hAnsi="仿宋" w:eastAsia="仿宋" w:cs="仿宋"/>
          <w:color w:val="000000" w:themeColor="text1"/>
          <w:sz w:val="28"/>
          <w:szCs w:val="28"/>
          <w:highlight w:val="none"/>
          <w:lang w:val="en-US" w:eastAsia="zh-CN"/>
          <w14:textFill>
            <w14:solidFill>
              <w14:schemeClr w14:val="tx1"/>
            </w14:solidFill>
          </w14:textFill>
        </w:rPr>
        <w:t>2）中心办公室人员对餐厅进行周检查、月度考核，若达不到考核标准，扣除相应劳务费。考核说明：考核结果≥80为优秀；60分≤考核结果＜80分为合格；考核结果＜60分为不合格。中标人违反采购人相关规定，采购人有权要求其在规定时间内进行整改，并按照绩效考核结果根据以下标准在服务外包劳务费中扣除：月度考核合格（60-79 分）扣除当月劳务费</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val="en-US" w:eastAsia="zh-CN"/>
          <w14:textFill>
            <w14:solidFill>
              <w14:schemeClr w14:val="tx1"/>
            </w14:solidFill>
          </w14:textFill>
        </w:rPr>
        <w:t>，不合格（＜60 分）扣除当月劳务费</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val="en-US" w:eastAsia="zh-CN"/>
          <w14:textFill>
            <w14:solidFill>
              <w14:schemeClr w14:val="tx1"/>
            </w14:solidFill>
          </w14:textFill>
        </w:rPr>
        <w:t>%；（具体详见考核表）</w:t>
      </w:r>
    </w:p>
    <w:bookmarkEnd w:id="1"/>
    <w:p w14:paraId="0A27C73E">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八、违约责任及解决合同纠纷的方式</w:t>
      </w:r>
    </w:p>
    <w:p w14:paraId="7D552EFB">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1、甲乙双方违反本合同任意条款即构成违约，违约方应当赔付给对方不低于实际损失金额一倍以上的违约金，不超合同总价的20%。</w:t>
      </w:r>
    </w:p>
    <w:p w14:paraId="6AB1488C">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2、乙方在合同期间若出现食品安全事故，甲方有权提出终止合同，因食品安全事故引起的一切损失由乙方承担赔偿责任并承担违约金。 </w:t>
      </w:r>
    </w:p>
    <w:p w14:paraId="2C93E25D">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3、在本合同履行期间如产生争议，双方应当首先进行友好协商，若协商不成，任何一方均可向甲方所在地人民法院提起诉讼。 </w:t>
      </w:r>
    </w:p>
    <w:p w14:paraId="15F36B66">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九、其他</w:t>
      </w:r>
    </w:p>
    <w:p w14:paraId="21A89FFC">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1、本合同未尽事宜由双方另行协商一致后，双方另行签订补充协议，与本合同具有同等法律效力。</w:t>
      </w:r>
    </w:p>
    <w:p w14:paraId="5F77881E">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2、本合同的附件与本合同的其他条款具有同等法律效力（机关食堂管理制度）。</w:t>
      </w:r>
    </w:p>
    <w:p w14:paraId="01404769">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本合同一式柒份，甲方叁份、乙方叁份，采购代理机构壹份，具有同等法律效力。</w:t>
      </w:r>
    </w:p>
    <w:p w14:paraId="7BB1CC6C">
      <w:pPr>
        <w:keepNext w:val="0"/>
        <w:keepLines w:val="0"/>
        <w:pageBreakBefore w:val="0"/>
        <w:widowControl w:val="0"/>
        <w:shd w:val="clear"/>
        <w:kinsoku/>
        <w:wordWrap/>
        <w:overflowPunct/>
        <w:topLinePunct w:val="0"/>
        <w:autoSpaceDE/>
        <w:autoSpaceDN/>
        <w:bidi w:val="0"/>
        <w:adjustRightInd w:val="0"/>
        <w:snapToGrid w:val="0"/>
        <w:spacing w:line="580" w:lineRule="atLeas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本合同自双方法定代表人(或授权代表)签字并盖公章(或合同章)之日起生效。</w:t>
      </w:r>
    </w:p>
    <w:tbl>
      <w:tblPr>
        <w:tblStyle w:val="6"/>
        <w:tblpPr w:leftFromText="180" w:rightFromText="180" w:vertAnchor="text" w:horzAnchor="page" w:tblpX="1787" w:tblpY="264"/>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43"/>
        <w:gridCol w:w="4179"/>
      </w:tblGrid>
      <w:tr w14:paraId="38709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3" w:hRule="atLeast"/>
        </w:trPr>
        <w:tc>
          <w:tcPr>
            <w:tcW w:w="4343" w:type="dxa"/>
            <w:noWrap w:val="0"/>
            <w:vAlign w:val="center"/>
          </w:tcPr>
          <w:p w14:paraId="17E63A7A">
            <w:pPr>
              <w:keepNext w:val="0"/>
              <w:keepLines w:val="0"/>
              <w:pageBreakBefore w:val="0"/>
              <w:shd w:val="clear"/>
              <w:wordWrap/>
              <w:topLinePunct w:val="0"/>
              <w:autoSpaceDE/>
              <w:autoSpaceDN/>
              <w:bidi w:val="0"/>
              <w:snapToGrid w:val="0"/>
              <w:spacing w:line="360" w:lineRule="auto"/>
              <w:jc w:val="both"/>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采购人：</w:t>
            </w:r>
            <w:r>
              <w:rPr>
                <w:rFonts w:hint="eastAsia" w:ascii="仿宋" w:hAnsi="仿宋" w:eastAsia="仿宋" w:cs="仿宋"/>
                <w:b/>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tc>
        <w:tc>
          <w:tcPr>
            <w:tcW w:w="4179" w:type="dxa"/>
            <w:noWrap w:val="0"/>
            <w:vAlign w:val="center"/>
          </w:tcPr>
          <w:p w14:paraId="4CA7696C">
            <w:pPr>
              <w:keepNext w:val="0"/>
              <w:keepLines w:val="0"/>
              <w:pageBreakBefore w:val="0"/>
              <w:shd w:val="clear"/>
              <w:wordWrap/>
              <w:topLinePunct w:val="0"/>
              <w:autoSpaceDE/>
              <w:autoSpaceDN/>
              <w:bidi w:val="0"/>
              <w:snapToGrid w:val="0"/>
              <w:spacing w:line="360" w:lineRule="auto"/>
              <w:jc w:val="both"/>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供应商：</w:t>
            </w:r>
            <w:r>
              <w:rPr>
                <w:rFonts w:hint="eastAsia" w:ascii="仿宋" w:hAnsi="仿宋" w:eastAsia="仿宋" w:cs="仿宋"/>
                <w:b/>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tc>
      </w:tr>
      <w:tr w14:paraId="4C067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3" w:type="dxa"/>
            <w:noWrap w:val="0"/>
            <w:vAlign w:val="center"/>
          </w:tcPr>
          <w:p w14:paraId="4C152517">
            <w:pPr>
              <w:keepNext w:val="0"/>
              <w:keepLines w:val="0"/>
              <w:pageBreakBefore w:val="0"/>
              <w:shd w:val="clear"/>
              <w:wordWrap/>
              <w:topLinePunct w:val="0"/>
              <w:autoSpaceDE/>
              <w:autoSpaceDN/>
              <w:bidi w:val="0"/>
              <w:snapToGrid w:val="0"/>
              <w:spacing w:line="360" w:lineRule="auto"/>
              <w:jc w:val="both"/>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  址：</w:t>
            </w:r>
            <w:r>
              <w:rPr>
                <w:rFonts w:hint="eastAsia" w:ascii="仿宋" w:hAnsi="仿宋" w:eastAsia="仿宋" w:cs="仿宋"/>
                <w:b/>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tc>
        <w:tc>
          <w:tcPr>
            <w:tcW w:w="4179" w:type="dxa"/>
            <w:noWrap w:val="0"/>
            <w:vAlign w:val="center"/>
          </w:tcPr>
          <w:p w14:paraId="0CB1B719">
            <w:pPr>
              <w:keepNext w:val="0"/>
              <w:keepLines w:val="0"/>
              <w:pageBreakBefore w:val="0"/>
              <w:shd w:val="clear"/>
              <w:wordWrap/>
              <w:topLinePunct w:val="0"/>
              <w:autoSpaceDE/>
              <w:autoSpaceDN/>
              <w:bidi w:val="0"/>
              <w:snapToGrid w:val="0"/>
              <w:spacing w:line="360" w:lineRule="auto"/>
              <w:jc w:val="both"/>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  址：</w:t>
            </w:r>
            <w:r>
              <w:rPr>
                <w:rFonts w:hint="eastAsia" w:ascii="仿宋" w:hAnsi="仿宋" w:eastAsia="仿宋" w:cs="仿宋"/>
                <w:b/>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tc>
      </w:tr>
      <w:tr w14:paraId="5C0C5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3" w:type="dxa"/>
            <w:noWrap w:val="0"/>
            <w:vAlign w:val="center"/>
          </w:tcPr>
          <w:p w14:paraId="1471F910">
            <w:pPr>
              <w:keepNext w:val="0"/>
              <w:keepLines w:val="0"/>
              <w:pageBreakBefore w:val="0"/>
              <w:shd w:val="clear"/>
              <w:wordWrap/>
              <w:topLinePunct w:val="0"/>
              <w:autoSpaceDE/>
              <w:autoSpaceDN/>
              <w:bidi w:val="0"/>
              <w:snapToGrid w:val="0"/>
              <w:spacing w:line="360" w:lineRule="auto"/>
              <w:jc w:val="both"/>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邮政编码：</w:t>
            </w:r>
            <w:r>
              <w:rPr>
                <w:rFonts w:hint="eastAsia" w:ascii="仿宋" w:hAnsi="仿宋" w:eastAsia="仿宋" w:cs="仿宋"/>
                <w:b/>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tc>
        <w:tc>
          <w:tcPr>
            <w:tcW w:w="4179" w:type="dxa"/>
            <w:noWrap w:val="0"/>
            <w:vAlign w:val="center"/>
          </w:tcPr>
          <w:p w14:paraId="7BC7401F">
            <w:pPr>
              <w:keepNext w:val="0"/>
              <w:keepLines w:val="0"/>
              <w:pageBreakBefore w:val="0"/>
              <w:shd w:val="clear"/>
              <w:wordWrap/>
              <w:topLinePunct w:val="0"/>
              <w:autoSpaceDE/>
              <w:autoSpaceDN/>
              <w:bidi w:val="0"/>
              <w:snapToGrid w:val="0"/>
              <w:spacing w:line="360" w:lineRule="auto"/>
              <w:jc w:val="both"/>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邮政编码：</w:t>
            </w:r>
            <w:r>
              <w:rPr>
                <w:rFonts w:hint="eastAsia" w:ascii="仿宋" w:hAnsi="仿宋" w:eastAsia="仿宋" w:cs="仿宋"/>
                <w:b/>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tc>
      </w:tr>
      <w:tr w14:paraId="1F5DC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3" w:type="dxa"/>
            <w:noWrap w:val="0"/>
            <w:vAlign w:val="center"/>
          </w:tcPr>
          <w:p w14:paraId="5616C9EF">
            <w:pPr>
              <w:keepNext w:val="0"/>
              <w:keepLines w:val="0"/>
              <w:pageBreakBefore w:val="0"/>
              <w:shd w:val="clear"/>
              <w:wordWrap/>
              <w:topLinePunct w:val="0"/>
              <w:autoSpaceDE/>
              <w:autoSpaceDN/>
              <w:bidi w:val="0"/>
              <w:snapToGrid w:val="0"/>
              <w:spacing w:line="360" w:lineRule="auto"/>
              <w:jc w:val="both"/>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法定代表人或</w:t>
            </w:r>
          </w:p>
          <w:p w14:paraId="60D47282">
            <w:pPr>
              <w:keepNext w:val="0"/>
              <w:keepLines w:val="0"/>
              <w:pageBreakBefore w:val="0"/>
              <w:shd w:val="clear"/>
              <w:wordWrap/>
              <w:topLinePunct w:val="0"/>
              <w:autoSpaceDE/>
              <w:autoSpaceDN/>
              <w:bidi w:val="0"/>
              <w:snapToGrid w:val="0"/>
              <w:spacing w:line="360" w:lineRule="auto"/>
              <w:jc w:val="both"/>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其授权的代理人：</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tc>
        <w:tc>
          <w:tcPr>
            <w:tcW w:w="4179" w:type="dxa"/>
            <w:noWrap w:val="0"/>
            <w:vAlign w:val="center"/>
          </w:tcPr>
          <w:p w14:paraId="14869DC4">
            <w:pPr>
              <w:keepNext w:val="0"/>
              <w:keepLines w:val="0"/>
              <w:pageBreakBefore w:val="0"/>
              <w:shd w:val="clear"/>
              <w:wordWrap/>
              <w:topLinePunct w:val="0"/>
              <w:autoSpaceDE/>
              <w:autoSpaceDN/>
              <w:bidi w:val="0"/>
              <w:snapToGrid w:val="0"/>
              <w:spacing w:line="360" w:lineRule="auto"/>
              <w:jc w:val="both"/>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法定代表人或</w:t>
            </w:r>
          </w:p>
          <w:p w14:paraId="165A5C1D">
            <w:pPr>
              <w:keepNext w:val="0"/>
              <w:keepLines w:val="0"/>
              <w:pageBreakBefore w:val="0"/>
              <w:shd w:val="clear"/>
              <w:wordWrap/>
              <w:topLinePunct w:val="0"/>
              <w:autoSpaceDE/>
              <w:autoSpaceDN/>
              <w:bidi w:val="0"/>
              <w:snapToGrid w:val="0"/>
              <w:spacing w:line="360" w:lineRule="auto"/>
              <w:jc w:val="both"/>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其授权的代理人：</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tc>
      </w:tr>
      <w:tr w14:paraId="4ECDF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3" w:type="dxa"/>
            <w:noWrap w:val="0"/>
            <w:vAlign w:val="center"/>
          </w:tcPr>
          <w:p w14:paraId="7DCF0C1E">
            <w:pPr>
              <w:keepNext w:val="0"/>
              <w:keepLines w:val="0"/>
              <w:pageBreakBefore w:val="0"/>
              <w:shd w:val="clear"/>
              <w:wordWrap/>
              <w:topLinePunct w:val="0"/>
              <w:autoSpaceDE/>
              <w:autoSpaceDN/>
              <w:bidi w:val="0"/>
              <w:snapToGrid w:val="0"/>
              <w:spacing w:line="360" w:lineRule="auto"/>
              <w:jc w:val="both"/>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开户银行：</w:t>
            </w:r>
            <w:r>
              <w:rPr>
                <w:rFonts w:hint="eastAsia" w:ascii="仿宋" w:hAnsi="仿宋" w:eastAsia="仿宋" w:cs="仿宋"/>
                <w:b/>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tc>
        <w:tc>
          <w:tcPr>
            <w:tcW w:w="4179" w:type="dxa"/>
            <w:noWrap w:val="0"/>
            <w:vAlign w:val="center"/>
          </w:tcPr>
          <w:p w14:paraId="1F509944">
            <w:pPr>
              <w:keepNext w:val="0"/>
              <w:keepLines w:val="0"/>
              <w:pageBreakBefore w:val="0"/>
              <w:shd w:val="clear"/>
              <w:wordWrap/>
              <w:topLinePunct w:val="0"/>
              <w:autoSpaceDE/>
              <w:autoSpaceDN/>
              <w:bidi w:val="0"/>
              <w:snapToGrid w:val="0"/>
              <w:spacing w:line="360" w:lineRule="auto"/>
              <w:jc w:val="both"/>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开户银行：</w:t>
            </w:r>
            <w:r>
              <w:rPr>
                <w:rFonts w:hint="eastAsia" w:ascii="仿宋" w:hAnsi="仿宋" w:eastAsia="仿宋" w:cs="仿宋"/>
                <w:b/>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tc>
      </w:tr>
      <w:tr w14:paraId="4DC11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3" w:type="dxa"/>
            <w:noWrap w:val="0"/>
            <w:vAlign w:val="center"/>
          </w:tcPr>
          <w:p w14:paraId="3356617F">
            <w:pPr>
              <w:keepNext w:val="0"/>
              <w:keepLines w:val="0"/>
              <w:pageBreakBefore w:val="0"/>
              <w:shd w:val="clear"/>
              <w:wordWrap/>
              <w:topLinePunct w:val="0"/>
              <w:autoSpaceDE/>
              <w:autoSpaceDN/>
              <w:bidi w:val="0"/>
              <w:snapToGrid w:val="0"/>
              <w:spacing w:line="360" w:lineRule="auto"/>
              <w:jc w:val="both"/>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账号：</w:t>
            </w:r>
            <w:r>
              <w:rPr>
                <w:rFonts w:hint="eastAsia" w:ascii="仿宋" w:hAnsi="仿宋" w:eastAsia="仿宋" w:cs="仿宋"/>
                <w:b/>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tc>
        <w:tc>
          <w:tcPr>
            <w:tcW w:w="4179" w:type="dxa"/>
            <w:noWrap w:val="0"/>
            <w:vAlign w:val="center"/>
          </w:tcPr>
          <w:p w14:paraId="76C66704">
            <w:pPr>
              <w:keepNext w:val="0"/>
              <w:keepLines w:val="0"/>
              <w:pageBreakBefore w:val="0"/>
              <w:shd w:val="clear"/>
              <w:wordWrap/>
              <w:topLinePunct w:val="0"/>
              <w:autoSpaceDE/>
              <w:autoSpaceDN/>
              <w:bidi w:val="0"/>
              <w:snapToGrid w:val="0"/>
              <w:spacing w:line="360" w:lineRule="auto"/>
              <w:jc w:val="both"/>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账号：</w:t>
            </w:r>
            <w:r>
              <w:rPr>
                <w:rFonts w:hint="eastAsia" w:ascii="仿宋" w:hAnsi="仿宋" w:eastAsia="仿宋" w:cs="仿宋"/>
                <w:b/>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tc>
      </w:tr>
      <w:tr w14:paraId="389CA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43" w:type="dxa"/>
            <w:noWrap w:val="0"/>
            <w:vAlign w:val="center"/>
          </w:tcPr>
          <w:p w14:paraId="0C2EDE62">
            <w:pPr>
              <w:keepNext w:val="0"/>
              <w:keepLines w:val="0"/>
              <w:pageBreakBefore w:val="0"/>
              <w:shd w:val="clear"/>
              <w:wordWrap/>
              <w:topLinePunct w:val="0"/>
              <w:autoSpaceDE/>
              <w:autoSpaceDN/>
              <w:bidi w:val="0"/>
              <w:snapToGrid w:val="0"/>
              <w:spacing w:line="360" w:lineRule="auto"/>
              <w:jc w:val="both"/>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电话：</w:t>
            </w:r>
            <w:r>
              <w:rPr>
                <w:rFonts w:hint="eastAsia" w:ascii="仿宋" w:hAnsi="仿宋" w:eastAsia="仿宋" w:cs="仿宋"/>
                <w:b/>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tc>
        <w:tc>
          <w:tcPr>
            <w:tcW w:w="4179" w:type="dxa"/>
            <w:noWrap w:val="0"/>
            <w:vAlign w:val="center"/>
          </w:tcPr>
          <w:p w14:paraId="19FC2CEC">
            <w:pPr>
              <w:keepNext w:val="0"/>
              <w:keepLines w:val="0"/>
              <w:pageBreakBefore w:val="0"/>
              <w:shd w:val="clear"/>
              <w:wordWrap/>
              <w:topLinePunct w:val="0"/>
              <w:autoSpaceDE/>
              <w:autoSpaceDN/>
              <w:bidi w:val="0"/>
              <w:snapToGrid w:val="0"/>
              <w:spacing w:line="360" w:lineRule="auto"/>
              <w:jc w:val="both"/>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电话：</w:t>
            </w:r>
            <w:r>
              <w:rPr>
                <w:rFonts w:hint="eastAsia" w:ascii="仿宋" w:hAnsi="仿宋" w:eastAsia="仿宋" w:cs="仿宋"/>
                <w:b/>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b/>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p>
        </w:tc>
      </w:tr>
    </w:tbl>
    <w:p w14:paraId="68980AD7">
      <w:pPr>
        <w:pStyle w:val="2"/>
        <w:shd w:val="clear"/>
        <w:ind w:firstLine="840" w:firstLineChars="300"/>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2A9CB19F">
      <w:pPr>
        <w:pStyle w:val="2"/>
        <w:shd w:val="clear"/>
        <w:ind w:firstLine="840" w:firstLineChars="300"/>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503BAB1F">
      <w:pPr>
        <w:pStyle w:val="2"/>
        <w:shd w:val="clear"/>
        <w:ind w:firstLine="840" w:firstLineChars="300"/>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5C80494E">
      <w:pPr>
        <w:pStyle w:val="2"/>
        <w:shd w:val="clear"/>
        <w:ind w:firstLine="840" w:firstLineChars="300"/>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0CFD021A">
      <w:pPr>
        <w:pStyle w:val="2"/>
        <w:shd w:val="clear"/>
        <w:ind w:firstLine="840" w:firstLineChars="300"/>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2E901A6F">
      <w:pPr>
        <w:pStyle w:val="2"/>
        <w:shd w:val="clear"/>
        <w:ind w:firstLine="840" w:firstLineChars="300"/>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16A18C44">
      <w:pPr>
        <w:pStyle w:val="2"/>
        <w:shd w:val="clear"/>
        <w:ind w:firstLine="840" w:firstLineChars="300"/>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48B2D1D7">
      <w:pPr>
        <w:pStyle w:val="2"/>
        <w:shd w:val="clear"/>
        <w:ind w:firstLine="840" w:firstLineChars="300"/>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4ED65304">
      <w:pPr>
        <w:pStyle w:val="2"/>
        <w:shd w:val="clear"/>
        <w:ind w:firstLine="840" w:firstLineChars="300"/>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04CFDE63">
      <w:pPr>
        <w:pStyle w:val="2"/>
        <w:shd w:val="clear"/>
        <w:ind w:firstLine="840" w:firstLineChars="300"/>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5366F0F1">
      <w:pPr>
        <w:pStyle w:val="2"/>
        <w:shd w:val="clear"/>
        <w:ind w:firstLine="840" w:firstLineChars="300"/>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7766F2F4">
      <w:pPr>
        <w:pStyle w:val="2"/>
        <w:shd w:val="clear"/>
        <w:ind w:firstLine="840" w:firstLineChars="300"/>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3020C071">
      <w:pPr>
        <w:pStyle w:val="2"/>
        <w:shd w:val="clear"/>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附件：</w:t>
      </w:r>
    </w:p>
    <w:tbl>
      <w:tblPr>
        <w:tblStyle w:val="6"/>
        <w:tblpPr w:leftFromText="180" w:rightFromText="180" w:vertAnchor="text" w:horzAnchor="page" w:tblpXSpec="center" w:tblpY="900"/>
        <w:tblOverlap w:val="never"/>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
        <w:gridCol w:w="788"/>
        <w:gridCol w:w="864"/>
        <w:gridCol w:w="2137"/>
        <w:gridCol w:w="2594"/>
        <w:gridCol w:w="201"/>
        <w:gridCol w:w="409"/>
        <w:gridCol w:w="600"/>
        <w:gridCol w:w="245"/>
        <w:gridCol w:w="540"/>
      </w:tblGrid>
      <w:tr w14:paraId="1D990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40" w:type="dxa"/>
          <w:trHeight w:val="719" w:hRule="atLeast"/>
          <w:jc w:val="center"/>
        </w:trPr>
        <w:tc>
          <w:tcPr>
            <w:tcW w:w="6997" w:type="dxa"/>
            <w:gridSpan w:val="6"/>
            <w:tcBorders>
              <w:top w:val="nil"/>
              <w:left w:val="nil"/>
              <w:bottom w:val="nil"/>
              <w:right w:val="nil"/>
            </w:tcBorders>
            <w:noWrap w:val="0"/>
            <w:vAlign w:val="center"/>
          </w:tcPr>
          <w:p w14:paraId="26E688D8">
            <w:pPr>
              <w:widowControl w:val="0"/>
              <w:shd w:val="clear"/>
              <w:kinsoku w:val="0"/>
              <w:autoSpaceDE w:val="0"/>
              <w:autoSpaceDN w:val="0"/>
              <w:adjustRightInd w:val="0"/>
              <w:snapToGrid w:val="0"/>
              <w:spacing w:line="240" w:lineRule="auto"/>
              <w:ind w:firstLine="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32"/>
                <w:szCs w:val="32"/>
                <w:highlight w:val="none"/>
                <w:vertAlign w:val="baseline"/>
                <w:lang w:val="en-US" w:eastAsia="zh-CN"/>
                <w14:textFill>
                  <w14:solidFill>
                    <w14:schemeClr w14:val="tx1"/>
                  </w14:solidFill>
                </w14:textFill>
              </w:rPr>
              <w:t xml:space="preserve">               餐厅管理考核表</w:t>
            </w:r>
          </w:p>
        </w:tc>
        <w:tc>
          <w:tcPr>
            <w:tcW w:w="1254" w:type="dxa"/>
            <w:gridSpan w:val="3"/>
            <w:tcBorders>
              <w:top w:val="nil"/>
              <w:left w:val="nil"/>
              <w:bottom w:val="nil"/>
              <w:right w:val="nil"/>
            </w:tcBorders>
            <w:noWrap w:val="0"/>
            <w:vAlign w:val="center"/>
          </w:tcPr>
          <w:p w14:paraId="4651B74C">
            <w:pPr>
              <w:widowControl w:val="0"/>
              <w:shd w:val="clear"/>
              <w:kinsoku w:val="0"/>
              <w:autoSpaceDE w:val="0"/>
              <w:autoSpaceDN w:val="0"/>
              <w:adjustRightInd w:val="0"/>
              <w:snapToGrid w:val="0"/>
              <w:spacing w:line="240" w:lineRule="auto"/>
              <w:ind w:firstLine="0"/>
              <w:jc w:val="center"/>
              <w:textAlignment w:val="baseline"/>
              <w:rPr>
                <w:rFonts w:hint="eastAsia" w:ascii="仿宋" w:hAnsi="仿宋" w:eastAsia="仿宋" w:cs="仿宋"/>
                <w:snapToGrid w:val="0"/>
                <w:color w:val="000000" w:themeColor="text1"/>
                <w:kern w:val="0"/>
                <w:sz w:val="32"/>
                <w:szCs w:val="32"/>
                <w:highlight w:val="none"/>
                <w:vertAlign w:val="baseline"/>
                <w:lang w:val="en-US" w:eastAsia="zh-CN"/>
                <w14:textFill>
                  <w14:solidFill>
                    <w14:schemeClr w14:val="tx1"/>
                  </w14:solidFill>
                </w14:textFill>
              </w:rPr>
            </w:pPr>
          </w:p>
        </w:tc>
      </w:tr>
      <w:tr w14:paraId="75199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13" w:type="dxa"/>
            <w:noWrap w:val="0"/>
            <w:vAlign w:val="center"/>
          </w:tcPr>
          <w:p w14:paraId="32E6C848">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序号</w:t>
            </w:r>
          </w:p>
        </w:tc>
        <w:tc>
          <w:tcPr>
            <w:tcW w:w="788" w:type="dxa"/>
            <w:noWrap w:val="0"/>
            <w:vAlign w:val="center"/>
          </w:tcPr>
          <w:p w14:paraId="7C90387A">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考核</w:t>
            </w:r>
          </w:p>
          <w:p w14:paraId="679EB0A6">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项目</w:t>
            </w:r>
          </w:p>
        </w:tc>
        <w:tc>
          <w:tcPr>
            <w:tcW w:w="3001" w:type="dxa"/>
            <w:gridSpan w:val="2"/>
            <w:noWrap w:val="0"/>
            <w:vAlign w:val="center"/>
          </w:tcPr>
          <w:p w14:paraId="236D43A0">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考核内容</w:t>
            </w:r>
          </w:p>
        </w:tc>
        <w:tc>
          <w:tcPr>
            <w:tcW w:w="2594" w:type="dxa"/>
            <w:noWrap w:val="0"/>
            <w:vAlign w:val="center"/>
          </w:tcPr>
          <w:p w14:paraId="78BD33A1">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考核标准</w:t>
            </w:r>
          </w:p>
        </w:tc>
        <w:tc>
          <w:tcPr>
            <w:tcW w:w="610" w:type="dxa"/>
            <w:gridSpan w:val="2"/>
            <w:noWrap w:val="0"/>
            <w:vAlign w:val="center"/>
          </w:tcPr>
          <w:p w14:paraId="734C8776">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分值</w:t>
            </w:r>
          </w:p>
        </w:tc>
        <w:tc>
          <w:tcPr>
            <w:tcW w:w="600" w:type="dxa"/>
            <w:noWrap w:val="0"/>
            <w:vAlign w:val="center"/>
          </w:tcPr>
          <w:p w14:paraId="70D12904">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得分</w:t>
            </w:r>
          </w:p>
        </w:tc>
        <w:tc>
          <w:tcPr>
            <w:tcW w:w="785" w:type="dxa"/>
            <w:gridSpan w:val="2"/>
            <w:noWrap w:val="0"/>
            <w:vAlign w:val="center"/>
          </w:tcPr>
          <w:p w14:paraId="44C69E86">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扣分事项</w:t>
            </w:r>
          </w:p>
        </w:tc>
      </w:tr>
      <w:tr w14:paraId="40BE7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413" w:type="dxa"/>
            <w:vMerge w:val="restart"/>
            <w:noWrap w:val="0"/>
            <w:vAlign w:val="center"/>
          </w:tcPr>
          <w:p w14:paraId="419244C0">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p w14:paraId="15A22086">
            <w:pPr>
              <w:widowControl w:val="0"/>
              <w:shd w:val="clear"/>
              <w:kinsoku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lang w:val="en-US" w:eastAsia="zh-CN"/>
                <w14:textFill>
                  <w14:solidFill>
                    <w14:schemeClr w14:val="tx1"/>
                  </w14:solidFill>
                </w14:textFill>
              </w:rPr>
              <w:t>1</w:t>
            </w:r>
          </w:p>
        </w:tc>
        <w:tc>
          <w:tcPr>
            <w:tcW w:w="788" w:type="dxa"/>
            <w:vMerge w:val="restart"/>
            <w:noWrap w:val="0"/>
            <w:vAlign w:val="center"/>
          </w:tcPr>
          <w:p w14:paraId="6C7E22B4">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p w14:paraId="665D176E">
            <w:pPr>
              <w:widowControl w:val="0"/>
              <w:shd w:val="clear"/>
              <w:kinsoku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snapToGrid w:val="0"/>
                <w:color w:val="000000" w:themeColor="text1"/>
                <w:kern w:val="2"/>
                <w:sz w:val="24"/>
                <w:szCs w:val="24"/>
                <w:highlight w:val="none"/>
                <w:lang w:val="en-US" w:eastAsia="zh-CN" w:bidi="ar-SA"/>
                <w14:textFill>
                  <w14:solidFill>
                    <w14:schemeClr w14:val="tx1"/>
                  </w14:solidFill>
                </w14:textFill>
              </w:rPr>
              <w:t>食品</w:t>
            </w:r>
          </w:p>
          <w:p w14:paraId="3D7371DB">
            <w:pPr>
              <w:widowControl w:val="0"/>
              <w:shd w:val="clear"/>
              <w:kinsoku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snapToGrid w:val="0"/>
                <w:color w:val="000000" w:themeColor="text1"/>
                <w:kern w:val="2"/>
                <w:sz w:val="24"/>
                <w:szCs w:val="24"/>
                <w:highlight w:val="none"/>
                <w:lang w:val="en-US" w:eastAsia="zh-CN" w:bidi="ar-SA"/>
                <w14:textFill>
                  <w14:solidFill>
                    <w14:schemeClr w14:val="tx1"/>
                  </w14:solidFill>
                </w14:textFill>
              </w:rPr>
              <w:t>安全20分</w:t>
            </w:r>
          </w:p>
        </w:tc>
        <w:tc>
          <w:tcPr>
            <w:tcW w:w="3001" w:type="dxa"/>
            <w:gridSpan w:val="2"/>
            <w:noWrap w:val="0"/>
            <w:vAlign w:val="center"/>
          </w:tcPr>
          <w:p w14:paraId="4176B5B0">
            <w:pPr>
              <w:widowControl w:val="0"/>
              <w:numPr>
                <w:ilvl w:val="0"/>
                <w:numId w:val="0"/>
              </w:numPr>
              <w:shd w:val="clear"/>
              <w:kinsoku w:val="0"/>
              <w:autoSpaceDE w:val="0"/>
              <w:autoSpaceDN w:val="0"/>
              <w:adjustRightInd w:val="0"/>
              <w:snapToGrid w:val="0"/>
              <w:spacing w:line="240" w:lineRule="auto"/>
              <w:ind w:leftChars="0" w:right="0" w:rightChars="0"/>
              <w:jc w:val="both"/>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1.建立食品安全制度。</w:t>
            </w:r>
          </w:p>
        </w:tc>
        <w:tc>
          <w:tcPr>
            <w:tcW w:w="2594" w:type="dxa"/>
            <w:noWrap w:val="0"/>
            <w:vAlign w:val="center"/>
          </w:tcPr>
          <w:p w14:paraId="2BAC07DB">
            <w:pPr>
              <w:widowControl w:val="0"/>
              <w:shd w:val="clear"/>
              <w:kinsoku w:val="0"/>
              <w:autoSpaceDE w:val="0"/>
              <w:autoSpaceDN w:val="0"/>
              <w:adjustRightInd w:val="0"/>
              <w:snapToGrid w:val="0"/>
              <w:spacing w:line="240" w:lineRule="auto"/>
              <w:ind w:left="0" w:leftChars="0" w:right="0" w:rightChars="0" w:firstLine="0" w:firstLineChars="0"/>
              <w:jc w:val="left"/>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1.未建立食品安全制度扣全额分。</w:t>
            </w:r>
          </w:p>
        </w:tc>
        <w:tc>
          <w:tcPr>
            <w:tcW w:w="610" w:type="dxa"/>
            <w:gridSpan w:val="2"/>
            <w:noWrap w:val="0"/>
            <w:vAlign w:val="center"/>
          </w:tcPr>
          <w:p w14:paraId="2EBC536E">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5分</w:t>
            </w:r>
          </w:p>
        </w:tc>
        <w:tc>
          <w:tcPr>
            <w:tcW w:w="600" w:type="dxa"/>
            <w:noWrap w:val="0"/>
            <w:vAlign w:val="center"/>
          </w:tcPr>
          <w:p w14:paraId="5CDA119B">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5" w:type="dxa"/>
            <w:gridSpan w:val="2"/>
            <w:noWrap w:val="0"/>
            <w:vAlign w:val="center"/>
          </w:tcPr>
          <w:p w14:paraId="29C6362C">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r>
      <w:tr w14:paraId="5DE81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3" w:type="dxa"/>
            <w:vMerge w:val="continue"/>
            <w:noWrap w:val="0"/>
            <w:vAlign w:val="center"/>
          </w:tcPr>
          <w:p w14:paraId="25AD4D9C">
            <w:pPr>
              <w:widowControl w:val="0"/>
              <w:shd w:val="clear"/>
              <w:kinsoku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lang w:val="en-US" w:eastAsia="zh-CN"/>
                <w14:textFill>
                  <w14:solidFill>
                    <w14:schemeClr w14:val="tx1"/>
                  </w14:solidFill>
                </w14:textFill>
              </w:rPr>
            </w:pPr>
          </w:p>
        </w:tc>
        <w:tc>
          <w:tcPr>
            <w:tcW w:w="788" w:type="dxa"/>
            <w:vMerge w:val="continue"/>
            <w:noWrap w:val="0"/>
            <w:vAlign w:val="center"/>
          </w:tcPr>
          <w:p w14:paraId="7A674D1B">
            <w:pPr>
              <w:widowControl w:val="0"/>
              <w:shd w:val="clear"/>
              <w:kinsoku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2"/>
                <w:sz w:val="24"/>
                <w:szCs w:val="24"/>
                <w:highlight w:val="none"/>
                <w:lang w:val="en-US" w:eastAsia="zh-CN" w:bidi="ar-SA"/>
                <w14:textFill>
                  <w14:solidFill>
                    <w14:schemeClr w14:val="tx1"/>
                  </w14:solidFill>
                </w14:textFill>
              </w:rPr>
            </w:pPr>
          </w:p>
        </w:tc>
        <w:tc>
          <w:tcPr>
            <w:tcW w:w="3001" w:type="dxa"/>
            <w:gridSpan w:val="2"/>
            <w:noWrap w:val="0"/>
            <w:vAlign w:val="center"/>
          </w:tcPr>
          <w:p w14:paraId="3A8BD83E">
            <w:pPr>
              <w:widowControl w:val="0"/>
              <w:numPr>
                <w:ilvl w:val="0"/>
                <w:numId w:val="0"/>
              </w:numPr>
              <w:shd w:val="clear"/>
              <w:kinsoku w:val="0"/>
              <w:autoSpaceDE w:val="0"/>
              <w:autoSpaceDN w:val="0"/>
              <w:adjustRightInd w:val="0"/>
              <w:snapToGrid w:val="0"/>
              <w:spacing w:line="240" w:lineRule="auto"/>
              <w:ind w:right="0" w:rightChars="0"/>
              <w:jc w:val="both"/>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2.</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食品采购符</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合</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食品安全制度》</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的规定，</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所有采购均有采购记录、正规发票及</w:t>
            </w:r>
            <w:bookmarkStart w:id="0" w:name="OLE_LINK2"/>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供货商营业执照资料等</w:t>
            </w:r>
            <w:bookmarkEnd w:id="0"/>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凭证，信息与采购记录一致。</w:t>
            </w:r>
          </w:p>
        </w:tc>
        <w:tc>
          <w:tcPr>
            <w:tcW w:w="2594" w:type="dxa"/>
            <w:noWrap w:val="0"/>
            <w:vAlign w:val="center"/>
          </w:tcPr>
          <w:p w14:paraId="0D5E3B47">
            <w:pPr>
              <w:widowControl w:val="0"/>
              <w:shd w:val="clear"/>
              <w:kinsoku w:val="0"/>
              <w:autoSpaceDE w:val="0"/>
              <w:autoSpaceDN w:val="0"/>
              <w:adjustRightInd w:val="0"/>
              <w:snapToGrid w:val="0"/>
              <w:spacing w:line="240" w:lineRule="auto"/>
              <w:ind w:left="0" w:leftChars="0" w:right="0" w:rightChars="0" w:firstLine="0" w:firstLineChars="0"/>
              <w:jc w:val="left"/>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1.</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无采购记录扣</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3</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分</w:t>
            </w:r>
            <w:r>
              <w:rPr>
                <w:rFonts w:hint="eastAsia" w:ascii="仿宋" w:hAnsi="仿宋" w:eastAsia="仿宋" w:cs="仿宋"/>
                <w:snapToGrid w:val="0"/>
                <w:color w:val="000000" w:themeColor="text1"/>
                <w:kern w:val="0"/>
                <w:sz w:val="24"/>
                <w:szCs w:val="24"/>
                <w:highlight w:val="none"/>
                <w:vertAlign w:val="baseline"/>
                <w:lang w:eastAsia="zh-CN"/>
                <w14:textFill>
                  <w14:solidFill>
                    <w14:schemeClr w14:val="tx1"/>
                  </w14:solidFill>
                </w14:textFill>
              </w:rPr>
              <w:t>；</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2.</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无</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发票或供货商营业执照资料等凭证，或采购记录缺项，</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扣2分</w:t>
            </w:r>
            <w:r>
              <w:rPr>
                <w:rFonts w:hint="eastAsia" w:ascii="仿宋" w:hAnsi="仿宋" w:eastAsia="仿宋" w:cs="仿宋"/>
                <w:snapToGrid w:val="0"/>
                <w:color w:val="000000" w:themeColor="text1"/>
                <w:kern w:val="0"/>
                <w:sz w:val="24"/>
                <w:szCs w:val="24"/>
                <w:highlight w:val="none"/>
                <w:vertAlign w:val="baseline"/>
                <w:lang w:eastAsia="zh-CN"/>
                <w14:textFill>
                  <w14:solidFill>
                    <w14:schemeClr w14:val="tx1"/>
                  </w14:solidFill>
                </w14:textFill>
              </w:rPr>
              <w:t>。</w:t>
            </w:r>
          </w:p>
        </w:tc>
        <w:tc>
          <w:tcPr>
            <w:tcW w:w="610" w:type="dxa"/>
            <w:gridSpan w:val="2"/>
            <w:noWrap w:val="0"/>
            <w:vAlign w:val="center"/>
          </w:tcPr>
          <w:p w14:paraId="2CBFFAF9">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5分</w:t>
            </w:r>
          </w:p>
        </w:tc>
        <w:tc>
          <w:tcPr>
            <w:tcW w:w="600" w:type="dxa"/>
            <w:noWrap w:val="0"/>
            <w:vAlign w:val="center"/>
          </w:tcPr>
          <w:p w14:paraId="02404419">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5" w:type="dxa"/>
            <w:gridSpan w:val="2"/>
            <w:noWrap w:val="0"/>
            <w:vAlign w:val="center"/>
          </w:tcPr>
          <w:p w14:paraId="53C82DE8">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r>
      <w:tr w14:paraId="390A6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jc w:val="center"/>
        </w:trPr>
        <w:tc>
          <w:tcPr>
            <w:tcW w:w="413" w:type="dxa"/>
            <w:vMerge w:val="continue"/>
            <w:noWrap w:val="0"/>
            <w:vAlign w:val="center"/>
          </w:tcPr>
          <w:p w14:paraId="1AE90BA3">
            <w:pPr>
              <w:widowControl w:val="0"/>
              <w:shd w:val="clear"/>
              <w:kinsoku w:val="0"/>
              <w:autoSpaceDE w:val="0"/>
              <w:autoSpaceDN w:val="0"/>
              <w:adjustRightInd w:val="0"/>
              <w:snapToGrid w:val="0"/>
              <w:spacing w:line="240" w:lineRule="auto"/>
              <w:ind w:leftChars="0" w:right="0" w:rightChars="0"/>
              <w:jc w:val="both"/>
              <w:textAlignment w:val="baseline"/>
              <w:rPr>
                <w:rFonts w:hint="eastAsia" w:ascii="仿宋" w:hAnsi="仿宋" w:eastAsia="仿宋" w:cs="仿宋"/>
                <w:color w:val="000000" w:themeColor="text1"/>
                <w:highlight w:val="none"/>
                <w14:textFill>
                  <w14:solidFill>
                    <w14:schemeClr w14:val="tx1"/>
                  </w14:solidFill>
                </w14:textFill>
              </w:rPr>
            </w:pPr>
          </w:p>
        </w:tc>
        <w:tc>
          <w:tcPr>
            <w:tcW w:w="788" w:type="dxa"/>
            <w:vMerge w:val="continue"/>
            <w:noWrap w:val="0"/>
            <w:vAlign w:val="center"/>
          </w:tcPr>
          <w:p w14:paraId="50B749DC">
            <w:pPr>
              <w:widowControl w:val="0"/>
              <w:shd w:val="clear"/>
              <w:kinsoku w:val="0"/>
              <w:autoSpaceDE w:val="0"/>
              <w:autoSpaceDN w:val="0"/>
              <w:adjustRightInd w:val="0"/>
              <w:snapToGrid w:val="0"/>
              <w:spacing w:line="240" w:lineRule="auto"/>
              <w:ind w:leftChars="0" w:right="0" w:rightChars="0"/>
              <w:jc w:val="both"/>
              <w:textAlignment w:val="baseline"/>
              <w:rPr>
                <w:rFonts w:hint="eastAsia" w:ascii="仿宋" w:hAnsi="仿宋" w:eastAsia="仿宋" w:cs="仿宋"/>
                <w:color w:val="000000" w:themeColor="text1"/>
                <w:highlight w:val="none"/>
                <w14:textFill>
                  <w14:solidFill>
                    <w14:schemeClr w14:val="tx1"/>
                  </w14:solidFill>
                </w14:textFill>
              </w:rPr>
            </w:pPr>
          </w:p>
        </w:tc>
        <w:tc>
          <w:tcPr>
            <w:tcW w:w="3001" w:type="dxa"/>
            <w:gridSpan w:val="2"/>
            <w:noWrap w:val="0"/>
            <w:vAlign w:val="center"/>
          </w:tcPr>
          <w:p w14:paraId="68981068">
            <w:pPr>
              <w:widowControl w:val="0"/>
              <w:numPr>
                <w:ilvl w:val="0"/>
                <w:numId w:val="0"/>
              </w:numPr>
              <w:shd w:val="clear"/>
              <w:kinsoku w:val="0"/>
              <w:autoSpaceDE w:val="0"/>
              <w:autoSpaceDN w:val="0"/>
              <w:adjustRightInd w:val="0"/>
              <w:snapToGrid w:val="0"/>
              <w:spacing w:line="240" w:lineRule="auto"/>
              <w:ind w:right="0" w:rightChars="0"/>
              <w:jc w:val="both"/>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3.严禁</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过期食品或腐烂变质食品进入机关食堂</w:t>
            </w:r>
            <w:r>
              <w:rPr>
                <w:rFonts w:hint="eastAsia" w:ascii="仿宋" w:hAnsi="仿宋" w:eastAsia="仿宋" w:cs="仿宋"/>
                <w:snapToGrid w:val="0"/>
                <w:color w:val="000000" w:themeColor="text1"/>
                <w:kern w:val="0"/>
                <w:sz w:val="24"/>
                <w:szCs w:val="24"/>
                <w:highlight w:val="none"/>
                <w:vertAlign w:val="baseline"/>
                <w:lang w:eastAsia="zh-CN"/>
                <w14:textFill>
                  <w14:solidFill>
                    <w14:schemeClr w14:val="tx1"/>
                  </w14:solidFill>
                </w14:textFill>
              </w:rPr>
              <w:t>；</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严禁后厨储存</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过期食品或腐烂变质食品</w:t>
            </w:r>
            <w:r>
              <w:rPr>
                <w:rFonts w:hint="eastAsia" w:ascii="仿宋" w:hAnsi="仿宋" w:eastAsia="仿宋" w:cs="仿宋"/>
                <w:snapToGrid w:val="0"/>
                <w:color w:val="000000" w:themeColor="text1"/>
                <w:kern w:val="0"/>
                <w:sz w:val="24"/>
                <w:szCs w:val="24"/>
                <w:highlight w:val="none"/>
                <w:vertAlign w:val="baseline"/>
                <w:lang w:eastAsia="zh-CN"/>
                <w14:textFill>
                  <w14:solidFill>
                    <w14:schemeClr w14:val="tx1"/>
                  </w14:solidFill>
                </w14:textFill>
              </w:rPr>
              <w:t>。</w:t>
            </w:r>
          </w:p>
        </w:tc>
        <w:tc>
          <w:tcPr>
            <w:tcW w:w="2594" w:type="dxa"/>
            <w:noWrap w:val="0"/>
            <w:vAlign w:val="center"/>
          </w:tcPr>
          <w:p w14:paraId="6F27F9B7">
            <w:pPr>
              <w:widowControl w:val="0"/>
              <w:shd w:val="clear"/>
              <w:kinsoku w:val="0"/>
              <w:autoSpaceDE w:val="0"/>
              <w:autoSpaceDN w:val="0"/>
              <w:adjustRightInd w:val="0"/>
              <w:snapToGrid w:val="0"/>
              <w:spacing w:line="240" w:lineRule="auto"/>
              <w:ind w:left="0" w:leftChars="0" w:right="0" w:rightChars="0" w:firstLine="0" w:firstLineChars="0"/>
              <w:jc w:val="left"/>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1.如发现</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过期</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/变质</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食品，</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扣全额分</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w:t>
            </w:r>
          </w:p>
          <w:p w14:paraId="45B9051D">
            <w:pPr>
              <w:widowControl w:val="0"/>
              <w:shd w:val="clear"/>
              <w:kinsoku w:val="0"/>
              <w:autoSpaceDE w:val="0"/>
              <w:autoSpaceDN w:val="0"/>
              <w:adjustRightInd w:val="0"/>
              <w:snapToGrid w:val="0"/>
              <w:spacing w:line="240" w:lineRule="auto"/>
              <w:ind w:leftChars="0" w:right="0" w:rightChars="0"/>
              <w:jc w:val="both"/>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p>
        </w:tc>
        <w:tc>
          <w:tcPr>
            <w:tcW w:w="610" w:type="dxa"/>
            <w:gridSpan w:val="2"/>
            <w:noWrap w:val="0"/>
            <w:vAlign w:val="center"/>
          </w:tcPr>
          <w:p w14:paraId="279CFB5B">
            <w:pPr>
              <w:widowControl w:val="0"/>
              <w:shd w:val="clear"/>
              <w:kinsoku w:val="0"/>
              <w:autoSpaceDE w:val="0"/>
              <w:autoSpaceDN w:val="0"/>
              <w:adjustRightInd w:val="0"/>
              <w:snapToGrid w:val="0"/>
              <w:spacing w:line="240" w:lineRule="auto"/>
              <w:ind w:leftChars="0" w:right="0" w:rightChars="0"/>
              <w:jc w:val="both"/>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5分</w:t>
            </w:r>
          </w:p>
        </w:tc>
        <w:tc>
          <w:tcPr>
            <w:tcW w:w="600" w:type="dxa"/>
            <w:noWrap w:val="0"/>
            <w:vAlign w:val="center"/>
          </w:tcPr>
          <w:p w14:paraId="07E00215">
            <w:pPr>
              <w:widowControl w:val="0"/>
              <w:shd w:val="clear"/>
              <w:kinsoku w:val="0"/>
              <w:autoSpaceDE w:val="0"/>
              <w:autoSpaceDN w:val="0"/>
              <w:adjustRightInd w:val="0"/>
              <w:snapToGrid w:val="0"/>
              <w:spacing w:line="240" w:lineRule="auto"/>
              <w:ind w:leftChars="0" w:right="0" w:rightChars="0"/>
              <w:jc w:val="both"/>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p>
        </w:tc>
        <w:tc>
          <w:tcPr>
            <w:tcW w:w="785" w:type="dxa"/>
            <w:gridSpan w:val="2"/>
            <w:noWrap w:val="0"/>
            <w:vAlign w:val="center"/>
          </w:tcPr>
          <w:p w14:paraId="1ED9C2D6">
            <w:pPr>
              <w:widowControl w:val="0"/>
              <w:shd w:val="clear"/>
              <w:kinsoku w:val="0"/>
              <w:autoSpaceDE w:val="0"/>
              <w:autoSpaceDN w:val="0"/>
              <w:adjustRightInd w:val="0"/>
              <w:snapToGrid w:val="0"/>
              <w:spacing w:line="240" w:lineRule="auto"/>
              <w:ind w:leftChars="0" w:right="0" w:rightChars="0"/>
              <w:jc w:val="both"/>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p>
        </w:tc>
      </w:tr>
      <w:tr w14:paraId="1C71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13" w:type="dxa"/>
            <w:vMerge w:val="continue"/>
            <w:noWrap w:val="0"/>
            <w:vAlign w:val="center"/>
          </w:tcPr>
          <w:p w14:paraId="3AC73B58">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8" w:type="dxa"/>
            <w:vMerge w:val="continue"/>
            <w:noWrap w:val="0"/>
            <w:vAlign w:val="center"/>
          </w:tcPr>
          <w:p w14:paraId="14670DD5">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3001" w:type="dxa"/>
            <w:gridSpan w:val="2"/>
            <w:noWrap w:val="0"/>
            <w:vAlign w:val="center"/>
          </w:tcPr>
          <w:p w14:paraId="18DBE184">
            <w:pPr>
              <w:widowControl w:val="0"/>
              <w:numPr>
                <w:ilvl w:val="0"/>
                <w:numId w:val="0"/>
              </w:numPr>
              <w:shd w:val="clear"/>
              <w:kinsoku w:val="0"/>
              <w:autoSpaceDE w:val="0"/>
              <w:autoSpaceDN w:val="0"/>
              <w:adjustRightInd w:val="0"/>
              <w:snapToGrid w:val="0"/>
              <w:spacing w:line="240" w:lineRule="auto"/>
              <w:ind w:leftChars="0" w:right="0" w:right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4.</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菜品必须采样留存，冷藏保存48</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小</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时以上。</w:t>
            </w:r>
          </w:p>
          <w:p w14:paraId="10F6C720">
            <w:pPr>
              <w:widowControl w:val="0"/>
              <w:numPr>
                <w:ilvl w:val="0"/>
                <w:numId w:val="0"/>
              </w:numPr>
              <w:shd w:val="clear"/>
              <w:kinsoku w:val="0"/>
              <w:autoSpaceDE w:val="0"/>
              <w:autoSpaceDN w:val="0"/>
              <w:adjustRightInd w:val="0"/>
              <w:snapToGrid w:val="0"/>
              <w:spacing w:line="240" w:lineRule="auto"/>
              <w:ind w:leftChars="0" w:right="0" w:rightChars="0"/>
              <w:jc w:val="both"/>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p>
        </w:tc>
        <w:tc>
          <w:tcPr>
            <w:tcW w:w="2594" w:type="dxa"/>
            <w:noWrap w:val="0"/>
            <w:vAlign w:val="center"/>
          </w:tcPr>
          <w:p w14:paraId="02AC600E">
            <w:pPr>
              <w:widowControl w:val="0"/>
              <w:shd w:val="clear"/>
              <w:kinsoku w:val="0"/>
              <w:autoSpaceDE w:val="0"/>
              <w:autoSpaceDN w:val="0"/>
              <w:adjustRightInd w:val="0"/>
              <w:snapToGrid w:val="0"/>
              <w:spacing w:line="240" w:lineRule="auto"/>
              <w:ind w:left="0" w:leftChars="0" w:right="0" w:rightChars="0" w:firstLine="0" w:firstLineChars="0"/>
              <w:jc w:val="left"/>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1.未按规定留样，扣全额分；</w:t>
            </w:r>
          </w:p>
          <w:p w14:paraId="6A706F12">
            <w:pPr>
              <w:widowControl w:val="0"/>
              <w:shd w:val="clear"/>
              <w:kinsoku w:val="0"/>
              <w:autoSpaceDE w:val="0"/>
              <w:autoSpaceDN w:val="0"/>
              <w:adjustRightInd w:val="0"/>
              <w:snapToGrid w:val="0"/>
              <w:spacing w:line="240" w:lineRule="auto"/>
              <w:ind w:left="0" w:leftChars="0" w:right="0" w:rightChars="0" w:firstLine="0" w:firstLineChars="0"/>
              <w:jc w:val="left"/>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2.留样缺项、标注不全、留存时间不达标，每项扣1分。</w:t>
            </w:r>
          </w:p>
        </w:tc>
        <w:tc>
          <w:tcPr>
            <w:tcW w:w="610" w:type="dxa"/>
            <w:gridSpan w:val="2"/>
            <w:noWrap w:val="0"/>
            <w:vAlign w:val="center"/>
          </w:tcPr>
          <w:p w14:paraId="5B213E56">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5分</w:t>
            </w:r>
          </w:p>
        </w:tc>
        <w:tc>
          <w:tcPr>
            <w:tcW w:w="600" w:type="dxa"/>
            <w:noWrap w:val="0"/>
            <w:vAlign w:val="center"/>
          </w:tcPr>
          <w:p w14:paraId="4C420BAF">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5" w:type="dxa"/>
            <w:gridSpan w:val="2"/>
            <w:noWrap w:val="0"/>
            <w:vAlign w:val="center"/>
          </w:tcPr>
          <w:p w14:paraId="00A8DCE4">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r>
      <w:tr w14:paraId="55BDC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13" w:type="dxa"/>
            <w:vMerge w:val="restart"/>
            <w:noWrap w:val="0"/>
            <w:vAlign w:val="center"/>
          </w:tcPr>
          <w:p w14:paraId="12786721">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2</w:t>
            </w:r>
          </w:p>
        </w:tc>
        <w:tc>
          <w:tcPr>
            <w:tcW w:w="788" w:type="dxa"/>
            <w:vMerge w:val="restart"/>
            <w:noWrap w:val="0"/>
            <w:vAlign w:val="center"/>
          </w:tcPr>
          <w:p w14:paraId="3FC8E47D">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p w14:paraId="201CA8B9">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餐饮</w:t>
            </w:r>
          </w:p>
          <w:p w14:paraId="38236FFB">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质量</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30分</w:t>
            </w:r>
          </w:p>
        </w:tc>
        <w:tc>
          <w:tcPr>
            <w:tcW w:w="3001" w:type="dxa"/>
            <w:gridSpan w:val="2"/>
            <w:noWrap w:val="0"/>
            <w:vAlign w:val="center"/>
          </w:tcPr>
          <w:p w14:paraId="11FE41CA">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en-US"/>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1.每周四编报下周菜单，且相邻两周的早、中、晚菜品重复率不得超过30%。</w:t>
            </w:r>
          </w:p>
        </w:tc>
        <w:tc>
          <w:tcPr>
            <w:tcW w:w="2594" w:type="dxa"/>
            <w:noWrap w:val="0"/>
            <w:vAlign w:val="center"/>
          </w:tcPr>
          <w:p w14:paraId="6C5FA164">
            <w:pPr>
              <w:widowControl w:val="0"/>
              <w:shd w:val="clear"/>
              <w:kinsoku w:val="0"/>
              <w:autoSpaceDE w:val="0"/>
              <w:autoSpaceDN w:val="0"/>
              <w:adjustRightInd w:val="0"/>
              <w:snapToGrid w:val="0"/>
              <w:spacing w:line="240" w:lineRule="auto"/>
              <w:ind w:left="0" w:leftChars="0" w:right="0" w:rightChars="0" w:firstLine="0" w:firstLineChars="0"/>
              <w:jc w:val="left"/>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1.未提前编报菜单，1次扣2分；</w:t>
            </w:r>
          </w:p>
          <w:p w14:paraId="1D5A1630">
            <w:pPr>
              <w:widowControl w:val="0"/>
              <w:shd w:val="clear"/>
              <w:kinsoku w:val="0"/>
              <w:autoSpaceDE w:val="0"/>
              <w:autoSpaceDN w:val="0"/>
              <w:adjustRightInd w:val="0"/>
              <w:snapToGrid w:val="0"/>
              <w:spacing w:line="240" w:lineRule="auto"/>
              <w:ind w:left="0" w:leftChars="0" w:right="0" w:rightChars="0" w:firstLine="0" w:firstLineChars="0"/>
              <w:jc w:val="left"/>
              <w:textAlignment w:val="baseline"/>
              <w:rPr>
                <w:rFonts w:hint="eastAsia" w:ascii="仿宋" w:hAnsi="仿宋" w:eastAsia="仿宋" w:cs="仿宋"/>
                <w:snapToGrid w:val="0"/>
                <w:color w:val="000000" w:themeColor="text1"/>
                <w:kern w:val="0"/>
                <w:sz w:val="24"/>
                <w:szCs w:val="24"/>
                <w:highlight w:val="none"/>
                <w:vertAlign w:val="baseline"/>
                <w:lang w:val="en-US" w:eastAsia="en-US"/>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2.相邻两周早、午、晚菜品重复率分别超过30%，一次扣2分。</w:t>
            </w:r>
          </w:p>
        </w:tc>
        <w:tc>
          <w:tcPr>
            <w:tcW w:w="610" w:type="dxa"/>
            <w:gridSpan w:val="2"/>
            <w:noWrap w:val="0"/>
            <w:vAlign w:val="center"/>
          </w:tcPr>
          <w:p w14:paraId="42A4CFD8">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6分</w:t>
            </w:r>
          </w:p>
        </w:tc>
        <w:tc>
          <w:tcPr>
            <w:tcW w:w="600" w:type="dxa"/>
            <w:noWrap w:val="0"/>
            <w:vAlign w:val="center"/>
          </w:tcPr>
          <w:p w14:paraId="2111C3FB">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5" w:type="dxa"/>
            <w:gridSpan w:val="2"/>
            <w:noWrap w:val="0"/>
            <w:vAlign w:val="center"/>
          </w:tcPr>
          <w:p w14:paraId="395CE45C">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r>
      <w:tr w14:paraId="55545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1" w:hRule="atLeast"/>
          <w:jc w:val="center"/>
        </w:trPr>
        <w:tc>
          <w:tcPr>
            <w:tcW w:w="413" w:type="dxa"/>
            <w:vMerge w:val="continue"/>
            <w:noWrap w:val="0"/>
            <w:vAlign w:val="center"/>
          </w:tcPr>
          <w:p w14:paraId="7B4E42A9">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8" w:type="dxa"/>
            <w:vMerge w:val="continue"/>
            <w:noWrap w:val="0"/>
            <w:vAlign w:val="center"/>
          </w:tcPr>
          <w:p w14:paraId="563660B8">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864" w:type="dxa"/>
            <w:noWrap w:val="0"/>
            <w:vAlign w:val="center"/>
          </w:tcPr>
          <w:p w14:paraId="1F9896F8">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p w14:paraId="20720FD0">
            <w:pPr>
              <w:widowControl w:val="0"/>
              <w:shd w:val="clear"/>
              <w:kinsoku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snapToGrid w:val="0"/>
                <w:color w:val="000000" w:themeColor="text1"/>
                <w:kern w:val="2"/>
                <w:sz w:val="24"/>
                <w:szCs w:val="24"/>
                <w:highlight w:val="none"/>
                <w:lang w:val="en-US" w:eastAsia="zh-CN" w:bidi="ar-SA"/>
                <w14:textFill>
                  <w14:solidFill>
                    <w14:schemeClr w14:val="tx1"/>
                  </w14:solidFill>
                </w14:textFill>
              </w:rPr>
              <w:t>早餐供应标准</w:t>
            </w:r>
          </w:p>
          <w:p w14:paraId="6E9E4271">
            <w:pPr>
              <w:widowControl w:val="0"/>
              <w:shd w:val="clear"/>
              <w:kinsoku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lang w:val="en-US" w:eastAsia="zh-CN"/>
                <w14:textFill>
                  <w14:solidFill>
                    <w14:schemeClr w14:val="tx1"/>
                  </w14:solidFill>
                </w14:textFill>
              </w:rPr>
            </w:pPr>
          </w:p>
        </w:tc>
        <w:tc>
          <w:tcPr>
            <w:tcW w:w="2137" w:type="dxa"/>
            <w:noWrap w:val="0"/>
            <w:vAlign w:val="center"/>
          </w:tcPr>
          <w:p w14:paraId="114C0866">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不少于主食2种（馒头、花卷等），4道主菜（1荤3素），1-2道小菜，2种稀饭，鸡蛋1种，1种奶制品或豆制品交替供应；</w:t>
            </w:r>
          </w:p>
        </w:tc>
        <w:tc>
          <w:tcPr>
            <w:tcW w:w="2594" w:type="dxa"/>
            <w:noWrap w:val="0"/>
            <w:vAlign w:val="center"/>
          </w:tcPr>
          <w:p w14:paraId="174BFFCC">
            <w:pPr>
              <w:widowControl w:val="0"/>
              <w:shd w:val="clear"/>
              <w:kinsoku w:val="0"/>
              <w:autoSpaceDE w:val="0"/>
              <w:autoSpaceDN w:val="0"/>
              <w:adjustRightInd w:val="0"/>
              <w:snapToGrid w:val="0"/>
              <w:spacing w:line="240" w:lineRule="auto"/>
              <w:ind w:left="0" w:leftChars="0" w:right="0" w:rightChars="0" w:firstLine="0" w:firstLineChars="0"/>
              <w:jc w:val="left"/>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1.未按菜单供应餐食，且菜品调换率在30%以上，一次扣2分；2.菜品色香味等感官不佳扣1分。</w:t>
            </w:r>
          </w:p>
        </w:tc>
        <w:tc>
          <w:tcPr>
            <w:tcW w:w="610" w:type="dxa"/>
            <w:gridSpan w:val="2"/>
            <w:noWrap w:val="0"/>
            <w:vAlign w:val="center"/>
          </w:tcPr>
          <w:p w14:paraId="6DFC17D7">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8</w:t>
            </w:r>
          </w:p>
        </w:tc>
        <w:tc>
          <w:tcPr>
            <w:tcW w:w="600" w:type="dxa"/>
            <w:noWrap w:val="0"/>
            <w:vAlign w:val="center"/>
          </w:tcPr>
          <w:p w14:paraId="61C04DB3">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5" w:type="dxa"/>
            <w:gridSpan w:val="2"/>
            <w:noWrap w:val="0"/>
            <w:vAlign w:val="center"/>
          </w:tcPr>
          <w:p w14:paraId="6DA4BD08">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r>
      <w:tr w14:paraId="38EDF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13" w:type="dxa"/>
            <w:vMerge w:val="continue"/>
            <w:noWrap w:val="0"/>
            <w:vAlign w:val="center"/>
          </w:tcPr>
          <w:p w14:paraId="60E6BAD7">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8" w:type="dxa"/>
            <w:vMerge w:val="continue"/>
            <w:noWrap w:val="0"/>
            <w:vAlign w:val="center"/>
          </w:tcPr>
          <w:p w14:paraId="52B5C395">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864" w:type="dxa"/>
            <w:noWrap w:val="0"/>
            <w:vAlign w:val="center"/>
          </w:tcPr>
          <w:p w14:paraId="3E922AE1">
            <w:pPr>
              <w:widowControl w:val="0"/>
              <w:shd w:val="clear"/>
              <w:kinsoku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snapToGrid w:val="0"/>
                <w:color w:val="000000" w:themeColor="text1"/>
                <w:kern w:val="2"/>
                <w:sz w:val="24"/>
                <w:szCs w:val="24"/>
                <w:highlight w:val="none"/>
                <w:lang w:val="en-US" w:eastAsia="zh-CN" w:bidi="ar-SA"/>
                <w14:textFill>
                  <w14:solidFill>
                    <w14:schemeClr w14:val="tx1"/>
                  </w14:solidFill>
                </w14:textFill>
              </w:rPr>
              <w:t>午餐供应标准</w:t>
            </w:r>
          </w:p>
          <w:p w14:paraId="31BC35AC">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2137" w:type="dxa"/>
            <w:noWrap w:val="0"/>
            <w:vAlign w:val="center"/>
          </w:tcPr>
          <w:p w14:paraId="3C857F2B">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iCs/>
                <w:color w:val="000000" w:themeColor="text1"/>
                <w:sz w:val="24"/>
                <w:highlight w:val="none"/>
                <w:u w:val="none"/>
                <w:lang w:val="en-US" w:eastAsia="zh-CN"/>
                <w14:textFill>
                  <w14:solidFill>
                    <w14:schemeClr w14:val="tx1"/>
                  </w14:solidFill>
                </w14:textFill>
              </w:rPr>
              <w:t>不少于3种主食（米饭、馒头、面条等），6道主菜（2荤4素）,汤品1样，1种时令水果；</w:t>
            </w:r>
          </w:p>
        </w:tc>
        <w:tc>
          <w:tcPr>
            <w:tcW w:w="2594" w:type="dxa"/>
            <w:noWrap w:val="0"/>
            <w:vAlign w:val="center"/>
          </w:tcPr>
          <w:p w14:paraId="2B4001F5">
            <w:pPr>
              <w:widowControl w:val="0"/>
              <w:shd w:val="clear"/>
              <w:kinsoku w:val="0"/>
              <w:autoSpaceDE w:val="0"/>
              <w:autoSpaceDN w:val="0"/>
              <w:adjustRightInd w:val="0"/>
              <w:snapToGrid w:val="0"/>
              <w:spacing w:line="240" w:lineRule="auto"/>
              <w:ind w:left="0" w:leftChars="0" w:right="0" w:rightChars="0" w:firstLine="0" w:firstLineChars="0"/>
              <w:jc w:val="left"/>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1.未按菜单供应餐食，且菜品调换率在30%以上，一次扣2分；2.菜品色香味等感官不佳扣1分。</w:t>
            </w:r>
          </w:p>
        </w:tc>
        <w:tc>
          <w:tcPr>
            <w:tcW w:w="610" w:type="dxa"/>
            <w:gridSpan w:val="2"/>
            <w:noWrap w:val="0"/>
            <w:vAlign w:val="center"/>
          </w:tcPr>
          <w:p w14:paraId="5E19777D">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8</w:t>
            </w:r>
          </w:p>
        </w:tc>
        <w:tc>
          <w:tcPr>
            <w:tcW w:w="600" w:type="dxa"/>
            <w:noWrap w:val="0"/>
            <w:vAlign w:val="center"/>
          </w:tcPr>
          <w:p w14:paraId="10AE2199">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5" w:type="dxa"/>
            <w:gridSpan w:val="2"/>
            <w:noWrap w:val="0"/>
            <w:vAlign w:val="center"/>
          </w:tcPr>
          <w:p w14:paraId="457C254C">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r>
      <w:tr w14:paraId="595D9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13" w:type="dxa"/>
            <w:vMerge w:val="continue"/>
            <w:noWrap w:val="0"/>
            <w:vAlign w:val="center"/>
          </w:tcPr>
          <w:p w14:paraId="7CB48E28">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8" w:type="dxa"/>
            <w:vMerge w:val="continue"/>
            <w:noWrap w:val="0"/>
            <w:vAlign w:val="center"/>
          </w:tcPr>
          <w:p w14:paraId="0C2FB8BD">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864" w:type="dxa"/>
            <w:noWrap w:val="0"/>
            <w:vAlign w:val="center"/>
          </w:tcPr>
          <w:p w14:paraId="5F9D2641">
            <w:pPr>
              <w:widowControl w:val="0"/>
              <w:shd w:val="clear"/>
              <w:kinsoku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snapToGrid w:val="0"/>
                <w:color w:val="000000" w:themeColor="text1"/>
                <w:kern w:val="2"/>
                <w:sz w:val="24"/>
                <w:szCs w:val="24"/>
                <w:highlight w:val="none"/>
                <w:lang w:val="en-US" w:eastAsia="zh-CN" w:bidi="ar-SA"/>
                <w14:textFill>
                  <w14:solidFill>
                    <w14:schemeClr w14:val="tx1"/>
                  </w14:solidFill>
                </w14:textFill>
              </w:rPr>
              <w:t>晚餐供应标准</w:t>
            </w:r>
          </w:p>
          <w:p w14:paraId="46596BEE">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2137" w:type="dxa"/>
            <w:noWrap w:val="0"/>
            <w:vAlign w:val="center"/>
          </w:tcPr>
          <w:p w14:paraId="46C88119">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iCs/>
                <w:color w:val="000000" w:themeColor="text1"/>
                <w:sz w:val="24"/>
                <w:highlight w:val="none"/>
                <w:u w:val="none"/>
                <w:lang w:val="en-US" w:eastAsia="zh-CN"/>
                <w14:textFill>
                  <w14:solidFill>
                    <w14:schemeClr w14:val="tx1"/>
                  </w14:solidFill>
                </w14:textFill>
              </w:rPr>
            </w:pPr>
            <w:r>
              <w:rPr>
                <w:rFonts w:hint="eastAsia" w:ascii="仿宋" w:hAnsi="仿宋" w:eastAsia="仿宋" w:cs="仿宋"/>
                <w:iCs/>
                <w:color w:val="000000" w:themeColor="text1"/>
                <w:sz w:val="24"/>
                <w:highlight w:val="none"/>
                <w:u w:val="none"/>
                <w:lang w:val="en-US" w:eastAsia="zh-CN"/>
                <w14:textFill>
                  <w14:solidFill>
                    <w14:schemeClr w14:val="tx1"/>
                  </w14:solidFill>
                </w14:textFill>
              </w:rPr>
              <w:t>不少于2种主食（馒头、米饭等），4道主菜（1荤3素），2道小菜、1个汤品。</w:t>
            </w:r>
          </w:p>
          <w:p w14:paraId="4BEC3BA2">
            <w:pPr>
              <w:widowControl w:val="0"/>
              <w:shd w:val="clear"/>
              <w:kinsoku w:val="0"/>
              <w:autoSpaceDE w:val="0"/>
              <w:autoSpaceDN w:val="0"/>
              <w:adjustRightInd w:val="0"/>
              <w:snapToGrid w:val="0"/>
              <w:spacing w:line="240" w:lineRule="auto"/>
              <w:ind w:left="0" w:leftChars="0" w:right="0" w:rightChars="0" w:firstLine="0" w:firstLineChars="0"/>
              <w:jc w:val="both"/>
              <w:textAlignment w:val="baseline"/>
              <w:rPr>
                <w:rFonts w:hint="eastAsia" w:ascii="仿宋" w:hAnsi="仿宋" w:eastAsia="仿宋" w:cs="仿宋"/>
                <w:snapToGrid w:val="0"/>
                <w:color w:val="000000" w:themeColor="text1"/>
                <w:kern w:val="0"/>
                <w:sz w:val="24"/>
                <w:szCs w:val="24"/>
                <w:highlight w:val="none"/>
                <w:vertAlign w:val="baseline"/>
                <w:lang w:eastAsia="zh-CN"/>
                <w14:textFill>
                  <w14:solidFill>
                    <w14:schemeClr w14:val="tx1"/>
                  </w14:solidFill>
                </w14:textFill>
              </w:rPr>
            </w:pPr>
          </w:p>
        </w:tc>
        <w:tc>
          <w:tcPr>
            <w:tcW w:w="2594" w:type="dxa"/>
            <w:noWrap w:val="0"/>
            <w:vAlign w:val="center"/>
          </w:tcPr>
          <w:p w14:paraId="36577B70">
            <w:pPr>
              <w:widowControl w:val="0"/>
              <w:shd w:val="clear"/>
              <w:kinsoku w:val="0"/>
              <w:autoSpaceDE w:val="0"/>
              <w:autoSpaceDN w:val="0"/>
              <w:adjustRightInd w:val="0"/>
              <w:snapToGrid w:val="0"/>
              <w:spacing w:line="240" w:lineRule="auto"/>
              <w:ind w:left="0" w:leftChars="0" w:right="0" w:rightChars="0" w:firstLine="0" w:firstLineChars="0"/>
              <w:jc w:val="left"/>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1.未按菜单供应餐食，且菜品调换率在30%以上，一次扣2分；2.菜品色香味等感官不佳扣1分。</w:t>
            </w:r>
          </w:p>
        </w:tc>
        <w:tc>
          <w:tcPr>
            <w:tcW w:w="610" w:type="dxa"/>
            <w:gridSpan w:val="2"/>
            <w:noWrap w:val="0"/>
            <w:vAlign w:val="center"/>
          </w:tcPr>
          <w:p w14:paraId="101C6CD7">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8</w:t>
            </w:r>
          </w:p>
        </w:tc>
        <w:tc>
          <w:tcPr>
            <w:tcW w:w="600" w:type="dxa"/>
            <w:noWrap w:val="0"/>
            <w:vAlign w:val="center"/>
          </w:tcPr>
          <w:p w14:paraId="0BAC6785">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5" w:type="dxa"/>
            <w:gridSpan w:val="2"/>
            <w:noWrap w:val="0"/>
            <w:vAlign w:val="center"/>
          </w:tcPr>
          <w:p w14:paraId="2C7C55A1">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r>
      <w:tr w14:paraId="71D30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413" w:type="dxa"/>
            <w:vMerge w:val="restart"/>
            <w:noWrap w:val="0"/>
            <w:vAlign w:val="center"/>
          </w:tcPr>
          <w:p w14:paraId="06C33450">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3</w:t>
            </w:r>
          </w:p>
        </w:tc>
        <w:tc>
          <w:tcPr>
            <w:tcW w:w="788" w:type="dxa"/>
            <w:vMerge w:val="restart"/>
            <w:noWrap w:val="0"/>
            <w:vAlign w:val="center"/>
          </w:tcPr>
          <w:p w14:paraId="7A8D79F7">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卫生</w:t>
            </w:r>
          </w:p>
          <w:p w14:paraId="6CF73FB7">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管理</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20分</w:t>
            </w:r>
          </w:p>
        </w:tc>
        <w:tc>
          <w:tcPr>
            <w:tcW w:w="3001" w:type="dxa"/>
            <w:gridSpan w:val="2"/>
            <w:noWrap w:val="0"/>
            <w:vAlign w:val="center"/>
          </w:tcPr>
          <w:p w14:paraId="29F422B6">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餐桌物品、</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桌椅摆放</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整齐，用餐后及时清理，无油污、残渣；地面每日餐后打扫、拖地无食物残渣、水渍、油污。</w:t>
            </w:r>
          </w:p>
          <w:p w14:paraId="2D6E2097">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2594" w:type="dxa"/>
            <w:noWrap w:val="0"/>
            <w:vAlign w:val="center"/>
          </w:tcPr>
          <w:p w14:paraId="4D474CDC">
            <w:pPr>
              <w:widowControl w:val="0"/>
              <w:numPr>
                <w:ilvl w:val="0"/>
                <w:numId w:val="0"/>
              </w:numPr>
              <w:shd w:val="clear"/>
              <w:kinsoku w:val="0"/>
              <w:autoSpaceDE w:val="0"/>
              <w:autoSpaceDN w:val="0"/>
              <w:adjustRightInd w:val="0"/>
              <w:snapToGrid w:val="0"/>
              <w:spacing w:line="240" w:lineRule="auto"/>
              <w:ind w:leftChars="0" w:right="0" w:rightChars="0"/>
              <w:jc w:val="left"/>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1、桌面</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物品摆放不整齐</w:t>
            </w:r>
            <w:r>
              <w:rPr>
                <w:rFonts w:hint="eastAsia" w:ascii="仿宋" w:hAnsi="仿宋" w:eastAsia="仿宋" w:cs="仿宋"/>
                <w:snapToGrid w:val="0"/>
                <w:color w:val="000000" w:themeColor="text1"/>
                <w:kern w:val="0"/>
                <w:sz w:val="24"/>
                <w:szCs w:val="24"/>
                <w:highlight w:val="none"/>
                <w:vertAlign w:val="baseline"/>
                <w:lang w:eastAsia="zh-CN"/>
                <w14:textFill>
                  <w14:solidFill>
                    <w14:schemeClr w14:val="tx1"/>
                  </w14:solidFill>
                </w14:textFill>
              </w:rPr>
              <w:t>、</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桌面卫生不达标，一次</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扣</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2分；</w:t>
            </w:r>
          </w:p>
          <w:p w14:paraId="5B4AFB57">
            <w:pPr>
              <w:widowControl w:val="0"/>
              <w:numPr>
                <w:ilvl w:val="0"/>
                <w:numId w:val="0"/>
              </w:numPr>
              <w:shd w:val="clear"/>
              <w:kinsoku w:val="0"/>
              <w:autoSpaceDE w:val="0"/>
              <w:autoSpaceDN w:val="0"/>
              <w:adjustRightInd w:val="0"/>
              <w:snapToGrid w:val="0"/>
              <w:spacing w:line="240" w:lineRule="auto"/>
              <w:ind w:leftChars="0" w:right="0" w:rightChars="0"/>
              <w:jc w:val="left"/>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2、地面卫生清洁不到位，有油污残留或水渍等情况，一次扣3分。</w:t>
            </w:r>
          </w:p>
        </w:tc>
        <w:tc>
          <w:tcPr>
            <w:tcW w:w="610" w:type="dxa"/>
            <w:gridSpan w:val="2"/>
            <w:noWrap w:val="0"/>
            <w:vAlign w:val="center"/>
          </w:tcPr>
          <w:p w14:paraId="7E0022A6">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5分</w:t>
            </w:r>
          </w:p>
        </w:tc>
        <w:tc>
          <w:tcPr>
            <w:tcW w:w="600" w:type="dxa"/>
            <w:noWrap w:val="0"/>
            <w:vAlign w:val="center"/>
          </w:tcPr>
          <w:p w14:paraId="5E88F992">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5" w:type="dxa"/>
            <w:gridSpan w:val="2"/>
            <w:noWrap w:val="0"/>
            <w:vAlign w:val="center"/>
          </w:tcPr>
          <w:p w14:paraId="5152C23F">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r>
      <w:tr w14:paraId="07851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13" w:type="dxa"/>
            <w:vMerge w:val="continue"/>
            <w:noWrap w:val="0"/>
            <w:vAlign w:val="center"/>
          </w:tcPr>
          <w:p w14:paraId="7931BB05">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8" w:type="dxa"/>
            <w:vMerge w:val="continue"/>
            <w:noWrap w:val="0"/>
            <w:vAlign w:val="center"/>
          </w:tcPr>
          <w:p w14:paraId="4FA3F1B8">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3001" w:type="dxa"/>
            <w:gridSpan w:val="2"/>
            <w:noWrap w:val="0"/>
            <w:vAlign w:val="center"/>
          </w:tcPr>
          <w:p w14:paraId="3C3C7238">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厨房</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地</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面</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墙面、门窗玻璃、设施设备、操作台</w:t>
            </w:r>
            <w:r>
              <w:rPr>
                <w:rFonts w:hint="eastAsia" w:ascii="仿宋" w:hAnsi="仿宋" w:eastAsia="仿宋" w:cs="仿宋"/>
                <w:snapToGrid w:val="0"/>
                <w:color w:val="000000" w:themeColor="text1"/>
                <w:kern w:val="0"/>
                <w:sz w:val="24"/>
                <w:szCs w:val="24"/>
                <w:highlight w:val="none"/>
                <w:vertAlign w:val="baseline"/>
                <w:lang w:eastAsia="zh-CN"/>
                <w14:textFill>
                  <w14:solidFill>
                    <w14:schemeClr w14:val="tx1"/>
                  </w14:solidFill>
                </w14:textFill>
              </w:rPr>
              <w:t>、</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货架</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无</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油污</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积水、食物残渣残留，无异味，</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餐具清洗、消毒必须</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符合</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国家规定的标准，做到清洁、卫生、</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安全</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操作</w:t>
            </w:r>
            <w:r>
              <w:rPr>
                <w:rFonts w:hint="eastAsia" w:ascii="仿宋" w:hAnsi="仿宋" w:eastAsia="仿宋" w:cs="仿宋"/>
                <w:snapToGrid w:val="0"/>
                <w:color w:val="000000" w:themeColor="text1"/>
                <w:kern w:val="0"/>
                <w:sz w:val="24"/>
                <w:szCs w:val="24"/>
                <w:highlight w:val="none"/>
                <w:vertAlign w:val="baseline"/>
                <w:lang w:eastAsia="zh-CN"/>
                <w14:textFill>
                  <w14:solidFill>
                    <w14:schemeClr w14:val="tx1"/>
                  </w14:solidFill>
                </w14:textFill>
              </w:rPr>
              <w:t>。</w:t>
            </w:r>
          </w:p>
        </w:tc>
        <w:tc>
          <w:tcPr>
            <w:tcW w:w="2594" w:type="dxa"/>
            <w:noWrap w:val="0"/>
            <w:vAlign w:val="center"/>
          </w:tcPr>
          <w:p w14:paraId="3851FBE7">
            <w:pPr>
              <w:widowControl w:val="0"/>
              <w:shd w:val="clear"/>
              <w:kinsoku w:val="0"/>
              <w:autoSpaceDE w:val="0"/>
              <w:autoSpaceDN w:val="0"/>
              <w:adjustRightInd w:val="0"/>
              <w:snapToGrid w:val="0"/>
              <w:spacing w:line="240" w:lineRule="auto"/>
              <w:ind w:left="0" w:leftChars="0" w:right="0" w:rightChars="0" w:firstLine="0" w:firstLineChars="0"/>
              <w:jc w:val="left"/>
              <w:textAlignment w:val="baseline"/>
              <w:rPr>
                <w:rFonts w:hint="eastAsia" w:ascii="仿宋" w:hAnsi="仿宋" w:eastAsia="仿宋" w:cs="仿宋"/>
                <w:snapToGrid w:val="0"/>
                <w:color w:val="000000" w:themeColor="text1"/>
                <w:kern w:val="0"/>
                <w:sz w:val="24"/>
                <w:szCs w:val="24"/>
                <w:highlight w:val="none"/>
                <w:vertAlign w:val="baseline"/>
                <w:lang w:val="en-US" w:eastAsia="en-US"/>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1.</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厨房环境卫生</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未</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达标</w:t>
            </w:r>
            <w:r>
              <w:rPr>
                <w:rFonts w:hint="eastAsia" w:ascii="仿宋" w:hAnsi="仿宋" w:eastAsia="仿宋" w:cs="仿宋"/>
                <w:snapToGrid w:val="0"/>
                <w:color w:val="000000" w:themeColor="text1"/>
                <w:kern w:val="0"/>
                <w:sz w:val="24"/>
                <w:szCs w:val="24"/>
                <w:highlight w:val="none"/>
                <w:vertAlign w:val="baseline"/>
                <w:lang w:eastAsia="zh-CN"/>
                <w14:textFill>
                  <w14:solidFill>
                    <w14:schemeClr w14:val="tx1"/>
                  </w14:solidFill>
                </w14:textFill>
              </w:rPr>
              <w:t>，</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一次</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扣</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2</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分</w:t>
            </w:r>
            <w:r>
              <w:rPr>
                <w:rFonts w:hint="eastAsia" w:ascii="仿宋" w:hAnsi="仿宋" w:eastAsia="仿宋" w:cs="仿宋"/>
                <w:snapToGrid w:val="0"/>
                <w:color w:val="000000" w:themeColor="text1"/>
                <w:kern w:val="0"/>
                <w:sz w:val="24"/>
                <w:szCs w:val="24"/>
                <w:highlight w:val="none"/>
                <w:vertAlign w:val="baseline"/>
                <w:lang w:eastAsia="zh-CN"/>
                <w14:textFill>
                  <w14:solidFill>
                    <w14:schemeClr w14:val="tx1"/>
                  </w14:solidFill>
                </w14:textFill>
              </w:rPr>
              <w:t>；</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2、</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餐具</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未</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清洗消毒</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或消毒</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不</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规范，一次扣2分。</w:t>
            </w:r>
          </w:p>
        </w:tc>
        <w:tc>
          <w:tcPr>
            <w:tcW w:w="610" w:type="dxa"/>
            <w:gridSpan w:val="2"/>
            <w:noWrap w:val="0"/>
            <w:vAlign w:val="center"/>
          </w:tcPr>
          <w:p w14:paraId="51DE8945">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5分</w:t>
            </w:r>
          </w:p>
        </w:tc>
        <w:tc>
          <w:tcPr>
            <w:tcW w:w="600" w:type="dxa"/>
            <w:noWrap w:val="0"/>
            <w:vAlign w:val="center"/>
          </w:tcPr>
          <w:p w14:paraId="391CE4BD">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5" w:type="dxa"/>
            <w:gridSpan w:val="2"/>
            <w:noWrap w:val="0"/>
            <w:vAlign w:val="center"/>
          </w:tcPr>
          <w:p w14:paraId="09E75319">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r>
      <w:tr w14:paraId="64104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13" w:type="dxa"/>
            <w:vMerge w:val="continue"/>
            <w:noWrap w:val="0"/>
            <w:vAlign w:val="center"/>
          </w:tcPr>
          <w:p w14:paraId="4B6640CB">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8" w:type="dxa"/>
            <w:vMerge w:val="continue"/>
            <w:noWrap w:val="0"/>
            <w:vAlign w:val="center"/>
          </w:tcPr>
          <w:p w14:paraId="7E20F4A2">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3001" w:type="dxa"/>
            <w:gridSpan w:val="2"/>
            <w:noWrap w:val="0"/>
            <w:vAlign w:val="center"/>
          </w:tcPr>
          <w:p w14:paraId="285AC6E7">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工作人员必须持有</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健康证</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证，且定期审验;按规定统一</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着</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工作服，戴口罩、工作帽和</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工</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作人员要做到勤剪指甲、勤洗</w:t>
            </w:r>
            <w:r>
              <w:rPr>
                <w:rFonts w:hint="eastAsia" w:ascii="仿宋" w:hAnsi="仿宋" w:eastAsia="仿宋" w:cs="仿宋"/>
                <w:snapToGrid w:val="0"/>
                <w:color w:val="000000" w:themeColor="text1"/>
                <w:kern w:val="0"/>
                <w:sz w:val="24"/>
                <w:szCs w:val="24"/>
                <w:highlight w:val="none"/>
                <w:vertAlign w:val="baseline"/>
                <w:lang w:eastAsia="zh-CN"/>
                <w14:textFill>
                  <w14:solidFill>
                    <w14:schemeClr w14:val="tx1"/>
                  </w14:solidFill>
                </w14:textFill>
              </w:rPr>
              <w:t>、</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勤理发、勤刮胡须;工作时间</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不允</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许带戒指、项链等</w:t>
            </w:r>
            <w:r>
              <w:rPr>
                <w:rFonts w:hint="eastAsia" w:ascii="仿宋" w:hAnsi="仿宋" w:eastAsia="仿宋" w:cs="仿宋"/>
                <w:snapToGrid w:val="0"/>
                <w:color w:val="000000" w:themeColor="text1"/>
                <w:kern w:val="0"/>
                <w:sz w:val="24"/>
                <w:szCs w:val="24"/>
                <w:highlight w:val="none"/>
                <w:vertAlign w:val="baseline"/>
                <w:lang w:eastAsia="zh-CN"/>
                <w14:textFill>
                  <w14:solidFill>
                    <w14:schemeClr w14:val="tx1"/>
                  </w14:solidFill>
                </w14:textFill>
              </w:rPr>
              <w:t>。</w:t>
            </w:r>
          </w:p>
        </w:tc>
        <w:tc>
          <w:tcPr>
            <w:tcW w:w="2594" w:type="dxa"/>
            <w:noWrap w:val="0"/>
            <w:vAlign w:val="center"/>
          </w:tcPr>
          <w:p w14:paraId="35CE3BFC">
            <w:pPr>
              <w:widowControl w:val="0"/>
              <w:shd w:val="clear"/>
              <w:kinsoku w:val="0"/>
              <w:autoSpaceDE w:val="0"/>
              <w:autoSpaceDN w:val="0"/>
              <w:adjustRightInd w:val="0"/>
              <w:snapToGrid w:val="0"/>
              <w:spacing w:line="240" w:lineRule="auto"/>
              <w:ind w:left="0" w:leftChars="0" w:right="0" w:rightChars="0" w:firstLine="0" w:firstLineChars="0"/>
              <w:jc w:val="left"/>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1.发现工作人员</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无健康证明或未按要求</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进行</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审验</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的</w:t>
            </w:r>
            <w:r>
              <w:rPr>
                <w:rFonts w:hint="eastAsia" w:ascii="仿宋" w:hAnsi="仿宋" w:eastAsia="仿宋" w:cs="仿宋"/>
                <w:snapToGrid w:val="0"/>
                <w:color w:val="000000" w:themeColor="text1"/>
                <w:kern w:val="0"/>
                <w:sz w:val="24"/>
                <w:szCs w:val="24"/>
                <w:highlight w:val="none"/>
                <w:vertAlign w:val="baseline"/>
                <w:lang w:eastAsia="zh-CN"/>
                <w14:textFill>
                  <w14:solidFill>
                    <w14:schemeClr w14:val="tx1"/>
                  </w14:solidFill>
                </w14:textFill>
              </w:rPr>
              <w:t>，</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一次扣2分</w:t>
            </w: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w:t>
            </w:r>
          </w:p>
          <w:p w14:paraId="07F8BE38">
            <w:pPr>
              <w:widowControl w:val="0"/>
              <w:shd w:val="clear"/>
              <w:kinsoku w:val="0"/>
              <w:autoSpaceDE w:val="0"/>
              <w:autoSpaceDN w:val="0"/>
              <w:adjustRightInd w:val="0"/>
              <w:snapToGrid w:val="0"/>
              <w:spacing w:line="240" w:lineRule="auto"/>
              <w:ind w:left="0" w:leftChars="0" w:right="0" w:rightChars="0" w:firstLine="0" w:firstLineChars="0"/>
              <w:jc w:val="left"/>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2.工作期间发现工作人员未穿洁净工作服、未戴工作帽或头发外漏、操作时佩戴首饰等情况，一次扣2分。</w:t>
            </w:r>
          </w:p>
          <w:p w14:paraId="21755554">
            <w:pPr>
              <w:widowControl w:val="0"/>
              <w:shd w:val="clear"/>
              <w:kinsoku w:val="0"/>
              <w:autoSpaceDE w:val="0"/>
              <w:autoSpaceDN w:val="0"/>
              <w:adjustRightInd w:val="0"/>
              <w:snapToGrid w:val="0"/>
              <w:spacing w:line="240" w:lineRule="auto"/>
              <w:ind w:left="0" w:leftChars="0" w:right="0" w:rightChars="0" w:firstLine="0" w:firstLineChars="0"/>
              <w:jc w:val="left"/>
              <w:textAlignment w:val="baseline"/>
              <w:rPr>
                <w:rFonts w:hint="eastAsia" w:ascii="仿宋" w:hAnsi="仿宋" w:eastAsia="仿宋" w:cs="仿宋"/>
                <w:snapToGrid w:val="0"/>
                <w:color w:val="000000" w:themeColor="text1"/>
                <w:kern w:val="0"/>
                <w:sz w:val="24"/>
                <w:szCs w:val="24"/>
                <w:highlight w:val="none"/>
                <w:vertAlign w:val="baseline"/>
                <w:lang w:val="en-US" w:eastAsia="en-US"/>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en-US"/>
                <w14:textFill>
                  <w14:solidFill>
                    <w14:schemeClr w14:val="tx1"/>
                  </w14:solidFill>
                </w14:textFill>
              </w:rPr>
              <w:t>扣完为止</w:t>
            </w:r>
          </w:p>
        </w:tc>
        <w:tc>
          <w:tcPr>
            <w:tcW w:w="610" w:type="dxa"/>
            <w:gridSpan w:val="2"/>
            <w:noWrap w:val="0"/>
            <w:vAlign w:val="center"/>
          </w:tcPr>
          <w:p w14:paraId="783C8CED">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5分</w:t>
            </w:r>
          </w:p>
        </w:tc>
        <w:tc>
          <w:tcPr>
            <w:tcW w:w="600" w:type="dxa"/>
            <w:noWrap w:val="0"/>
            <w:vAlign w:val="center"/>
          </w:tcPr>
          <w:p w14:paraId="4FF1BB39">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5" w:type="dxa"/>
            <w:gridSpan w:val="2"/>
            <w:noWrap w:val="0"/>
            <w:vAlign w:val="center"/>
          </w:tcPr>
          <w:p w14:paraId="1C5C680D">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r>
      <w:tr w14:paraId="6202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13" w:type="dxa"/>
            <w:vMerge w:val="continue"/>
            <w:noWrap w:val="0"/>
            <w:vAlign w:val="center"/>
          </w:tcPr>
          <w:p w14:paraId="77323451">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8" w:type="dxa"/>
            <w:vMerge w:val="continue"/>
            <w:noWrap w:val="0"/>
            <w:vAlign w:val="center"/>
          </w:tcPr>
          <w:p w14:paraId="49EE28C1">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3001" w:type="dxa"/>
            <w:gridSpan w:val="2"/>
            <w:noWrap w:val="0"/>
            <w:vAlign w:val="center"/>
          </w:tcPr>
          <w:p w14:paraId="72938B48">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严格落实日常卫生清洁、消毒消杀制度，保持餐厅全区域干净整洁，主动配合市场监管部门开展卫生与质量抽检工作。</w:t>
            </w:r>
          </w:p>
        </w:tc>
        <w:tc>
          <w:tcPr>
            <w:tcW w:w="2594" w:type="dxa"/>
            <w:noWrap w:val="0"/>
            <w:vAlign w:val="center"/>
          </w:tcPr>
          <w:p w14:paraId="0734F74B">
            <w:pPr>
              <w:widowControl w:val="0"/>
              <w:shd w:val="clear"/>
              <w:kinsoku w:val="0"/>
              <w:autoSpaceDE w:val="0"/>
              <w:autoSpaceDN w:val="0"/>
              <w:adjustRightInd w:val="0"/>
              <w:snapToGrid w:val="0"/>
              <w:spacing w:line="240" w:lineRule="auto"/>
              <w:ind w:left="0" w:leftChars="0" w:right="0" w:rightChars="0" w:firstLine="0" w:firstLineChars="0"/>
              <w:jc w:val="left"/>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1.日常卫生检查不达标、区域环境卫生脏乱差的，一次扣2分；</w:t>
            </w:r>
          </w:p>
          <w:p w14:paraId="0675130A">
            <w:pPr>
              <w:widowControl w:val="0"/>
              <w:shd w:val="clear"/>
              <w:kinsoku w:val="0"/>
              <w:autoSpaceDE w:val="0"/>
              <w:autoSpaceDN w:val="0"/>
              <w:adjustRightInd w:val="0"/>
              <w:snapToGrid w:val="0"/>
              <w:spacing w:line="240" w:lineRule="auto"/>
              <w:ind w:left="0" w:leftChars="0" w:right="0" w:rightChars="0" w:firstLine="0" w:firstLineChars="0"/>
              <w:jc w:val="left"/>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2.市场监管部门抽检不合格，或存在问题未及时整改的，一次扣全额分。</w:t>
            </w:r>
          </w:p>
        </w:tc>
        <w:tc>
          <w:tcPr>
            <w:tcW w:w="610" w:type="dxa"/>
            <w:gridSpan w:val="2"/>
            <w:noWrap w:val="0"/>
            <w:vAlign w:val="center"/>
          </w:tcPr>
          <w:p w14:paraId="5B120ABA">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5分</w:t>
            </w:r>
          </w:p>
        </w:tc>
        <w:tc>
          <w:tcPr>
            <w:tcW w:w="600" w:type="dxa"/>
            <w:noWrap w:val="0"/>
            <w:vAlign w:val="center"/>
          </w:tcPr>
          <w:p w14:paraId="12D9FB4D">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5" w:type="dxa"/>
            <w:gridSpan w:val="2"/>
            <w:noWrap w:val="0"/>
            <w:vAlign w:val="center"/>
          </w:tcPr>
          <w:p w14:paraId="3FE917DE">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r>
      <w:tr w14:paraId="43172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13" w:type="dxa"/>
            <w:noWrap w:val="0"/>
            <w:vAlign w:val="center"/>
          </w:tcPr>
          <w:p w14:paraId="7BF9A4C7">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4</w:t>
            </w:r>
          </w:p>
        </w:tc>
        <w:tc>
          <w:tcPr>
            <w:tcW w:w="788" w:type="dxa"/>
            <w:noWrap w:val="0"/>
            <w:vAlign w:val="center"/>
          </w:tcPr>
          <w:p w14:paraId="00B36928">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服务</w:t>
            </w:r>
          </w:p>
          <w:p w14:paraId="182CFFBF">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t>管理</w:t>
            </w: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10分</w:t>
            </w:r>
          </w:p>
        </w:tc>
        <w:tc>
          <w:tcPr>
            <w:tcW w:w="3001" w:type="dxa"/>
            <w:gridSpan w:val="2"/>
            <w:noWrap w:val="0"/>
            <w:vAlign w:val="center"/>
          </w:tcPr>
          <w:p w14:paraId="0B9A1DFB">
            <w:pPr>
              <w:widowControl w:val="0"/>
              <w:numPr>
                <w:ilvl w:val="0"/>
                <w:numId w:val="1"/>
              </w:numPr>
              <w:shd w:val="clear"/>
              <w:kinsoku w:val="0"/>
              <w:autoSpaceDE w:val="0"/>
              <w:autoSpaceDN w:val="0"/>
              <w:adjustRightInd w:val="0"/>
              <w:snapToGrid w:val="0"/>
              <w:spacing w:line="240" w:lineRule="auto"/>
              <w:ind w:leftChars="0" w:right="0" w:rightChars="0"/>
              <w:jc w:val="both"/>
              <w:textAlignment w:val="baseline"/>
              <w:rPr>
                <w:rFonts w:hint="eastAsia" w:ascii="仿宋" w:hAnsi="仿宋" w:eastAsia="仿宋" w:cs="仿宋"/>
                <w:snapToGrid w:val="0"/>
                <w:color w:val="000000" w:themeColor="text1"/>
                <w:kern w:val="0"/>
                <w:sz w:val="24"/>
                <w:szCs w:val="24"/>
                <w:highlight w:val="none"/>
                <w:u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u w:val="none"/>
                <w:vertAlign w:val="baseline"/>
                <w:lang w:val="en-US" w:eastAsia="zh-CN"/>
                <w14:textFill>
                  <w14:solidFill>
                    <w14:schemeClr w14:val="tx1"/>
                  </w14:solidFill>
                </w14:textFill>
              </w:rPr>
              <w:t>供餐效率较好，补餐及时；高峰期引导就餐排队合理有序。</w:t>
            </w:r>
          </w:p>
          <w:p w14:paraId="617CBAEF">
            <w:pPr>
              <w:widowControl w:val="0"/>
              <w:numPr>
                <w:ilvl w:val="0"/>
                <w:numId w:val="0"/>
              </w:numPr>
              <w:shd w:val="clear"/>
              <w:kinsoku w:val="0"/>
              <w:autoSpaceDE w:val="0"/>
              <w:autoSpaceDN w:val="0"/>
              <w:adjustRightInd w:val="0"/>
              <w:snapToGrid w:val="0"/>
              <w:spacing w:line="240" w:lineRule="auto"/>
              <w:ind w:right="0" w:rightChars="0"/>
              <w:jc w:val="both"/>
              <w:textAlignment w:val="baseline"/>
              <w:rPr>
                <w:rFonts w:hint="eastAsia" w:ascii="仿宋" w:hAnsi="仿宋" w:eastAsia="仿宋" w:cs="仿宋"/>
                <w:snapToGrid w:val="0"/>
                <w:color w:val="000000" w:themeColor="text1"/>
                <w:kern w:val="0"/>
                <w:sz w:val="24"/>
                <w:szCs w:val="24"/>
                <w:highlight w:val="none"/>
                <w:u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u w:val="none"/>
                <w:vertAlign w:val="baseline"/>
                <w:lang w:val="en-US" w:eastAsia="zh-CN"/>
                <w14:textFill>
                  <w14:solidFill>
                    <w14:schemeClr w14:val="tx1"/>
                  </w14:solidFill>
                </w14:textFill>
              </w:rPr>
              <w:t>2.</w:t>
            </w:r>
            <w:r>
              <w:rPr>
                <w:rFonts w:hint="eastAsia" w:ascii="仿宋" w:hAnsi="仿宋" w:eastAsia="仿宋" w:cs="仿宋"/>
                <w:snapToGrid w:val="0"/>
                <w:color w:val="000000" w:themeColor="text1"/>
                <w:kern w:val="0"/>
                <w:sz w:val="24"/>
                <w:szCs w:val="24"/>
                <w:highlight w:val="none"/>
                <w:u w:val="none"/>
                <w:vertAlign w:val="baseline"/>
                <w:lang w:eastAsia="en-US"/>
                <w14:textFill>
                  <w14:solidFill>
                    <w14:schemeClr w14:val="tx1"/>
                  </w14:solidFill>
                </w14:textFill>
              </w:rPr>
              <w:t>工作人员服务态度热情周到</w:t>
            </w:r>
            <w:r>
              <w:rPr>
                <w:rFonts w:hint="eastAsia" w:ascii="仿宋" w:hAnsi="仿宋" w:eastAsia="仿宋" w:cs="仿宋"/>
                <w:snapToGrid w:val="0"/>
                <w:color w:val="000000" w:themeColor="text1"/>
                <w:kern w:val="0"/>
                <w:sz w:val="24"/>
                <w:szCs w:val="24"/>
                <w:highlight w:val="none"/>
                <w:u w:val="none"/>
                <w:vertAlign w:val="baseline"/>
                <w:lang w:eastAsia="zh-CN"/>
                <w14:textFill>
                  <w14:solidFill>
                    <w14:schemeClr w14:val="tx1"/>
                  </w14:solidFill>
                </w14:textFill>
              </w:rPr>
              <w:t>，</w:t>
            </w:r>
            <w:r>
              <w:rPr>
                <w:rFonts w:hint="eastAsia" w:ascii="仿宋" w:hAnsi="仿宋" w:eastAsia="仿宋" w:cs="仿宋"/>
                <w:snapToGrid w:val="0"/>
                <w:color w:val="000000" w:themeColor="text1"/>
                <w:kern w:val="0"/>
                <w:sz w:val="24"/>
                <w:szCs w:val="24"/>
                <w:highlight w:val="none"/>
                <w:u w:val="none"/>
                <w:vertAlign w:val="baseline"/>
                <w:lang w:val="en-US" w:eastAsia="zh-CN"/>
                <w14:textFill>
                  <w14:solidFill>
                    <w14:schemeClr w14:val="tx1"/>
                  </w14:solidFill>
                </w14:textFill>
              </w:rPr>
              <w:t>用语文明，耐心解答就餐人员问题。</w:t>
            </w:r>
          </w:p>
          <w:p w14:paraId="53273693">
            <w:pPr>
              <w:widowControl w:val="0"/>
              <w:numPr>
                <w:ilvl w:val="0"/>
                <w:numId w:val="0"/>
              </w:numPr>
              <w:shd w:val="clear"/>
              <w:kinsoku w:val="0"/>
              <w:autoSpaceDE w:val="0"/>
              <w:autoSpaceDN w:val="0"/>
              <w:adjustRightInd w:val="0"/>
              <w:snapToGrid w:val="0"/>
              <w:spacing w:line="240" w:lineRule="auto"/>
              <w:ind w:leftChars="0" w:right="0" w:rightChars="0"/>
              <w:jc w:val="both"/>
              <w:textAlignment w:val="baseline"/>
              <w:rPr>
                <w:rFonts w:hint="eastAsia" w:ascii="仿宋" w:hAnsi="仿宋" w:eastAsia="仿宋" w:cs="仿宋"/>
                <w:snapToGrid w:val="0"/>
                <w:color w:val="000000" w:themeColor="text1"/>
                <w:kern w:val="0"/>
                <w:sz w:val="24"/>
                <w:szCs w:val="24"/>
                <w:highlight w:val="none"/>
                <w:u w:val="none"/>
                <w:vertAlign w:val="baseline"/>
                <w:lang w:val="en-US" w:eastAsia="zh-CN"/>
                <w14:textFill>
                  <w14:solidFill>
                    <w14:schemeClr w14:val="tx1"/>
                  </w14:solidFill>
                </w14:textFill>
              </w:rPr>
            </w:pPr>
            <w:r>
              <w:rPr>
                <w:rFonts w:hint="eastAsia" w:ascii="仿宋" w:hAnsi="仿宋" w:eastAsia="仿宋" w:cs="仿宋"/>
                <w:iCs/>
                <w:color w:val="000000" w:themeColor="text1"/>
                <w:sz w:val="24"/>
                <w:highlight w:val="none"/>
                <w:u w:val="none"/>
                <w:lang w:val="en-US" w:eastAsia="zh-CN"/>
                <w14:textFill>
                  <w14:solidFill>
                    <w14:schemeClr w14:val="tx1"/>
                  </w14:solidFill>
                </w14:textFill>
              </w:rPr>
              <w:t>3、对就餐人员在意见簿、餐厅</w:t>
            </w:r>
            <w:r>
              <w:rPr>
                <w:rFonts w:hint="eastAsia" w:ascii="仿宋" w:hAnsi="仿宋" w:eastAsia="仿宋" w:cs="仿宋"/>
                <w:iCs/>
                <w:color w:val="000000" w:themeColor="text1"/>
                <w:sz w:val="24"/>
                <w:highlight w:val="none"/>
                <w:u w:val="none"/>
                <w14:textFill>
                  <w14:solidFill>
                    <w14:schemeClr w14:val="tx1"/>
                  </w14:solidFill>
                </w14:textFill>
              </w:rPr>
              <w:t>小程序</w:t>
            </w:r>
            <w:r>
              <w:rPr>
                <w:rFonts w:hint="eastAsia" w:ascii="仿宋" w:hAnsi="仿宋" w:eastAsia="仿宋" w:cs="仿宋"/>
                <w:iCs/>
                <w:color w:val="000000" w:themeColor="text1"/>
                <w:sz w:val="24"/>
                <w:highlight w:val="none"/>
                <w:u w:val="none"/>
                <w:lang w:val="en-US" w:eastAsia="zh-CN"/>
                <w14:textFill>
                  <w14:solidFill>
                    <w14:schemeClr w14:val="tx1"/>
                  </w14:solidFill>
                </w14:textFill>
              </w:rPr>
              <w:t>上的投诉及意见建议能够及时处理采纳。</w:t>
            </w:r>
          </w:p>
        </w:tc>
        <w:tc>
          <w:tcPr>
            <w:tcW w:w="2594" w:type="dxa"/>
            <w:noWrap w:val="0"/>
            <w:vAlign w:val="center"/>
          </w:tcPr>
          <w:p w14:paraId="44A09ED8">
            <w:pPr>
              <w:widowControl w:val="0"/>
              <w:numPr>
                <w:ilvl w:val="0"/>
                <w:numId w:val="0"/>
              </w:numPr>
              <w:shd w:val="clear"/>
              <w:kinsoku w:val="0"/>
              <w:autoSpaceDE w:val="0"/>
              <w:autoSpaceDN w:val="0"/>
              <w:adjustRightInd w:val="0"/>
              <w:snapToGrid w:val="0"/>
              <w:spacing w:line="240" w:lineRule="auto"/>
              <w:ind w:leftChars="0" w:right="0" w:rightChars="0"/>
              <w:jc w:val="left"/>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1高峰期排队过长，未采取有效疏导措施、菜品未及时补充，一次扣2分；</w:t>
            </w:r>
          </w:p>
          <w:p w14:paraId="760D3F61">
            <w:pPr>
              <w:widowControl w:val="0"/>
              <w:numPr>
                <w:ilvl w:val="0"/>
                <w:numId w:val="0"/>
              </w:numPr>
              <w:shd w:val="clear"/>
              <w:kinsoku w:val="0"/>
              <w:autoSpaceDE w:val="0"/>
              <w:autoSpaceDN w:val="0"/>
              <w:adjustRightInd w:val="0"/>
              <w:snapToGrid w:val="0"/>
              <w:spacing w:line="240" w:lineRule="auto"/>
              <w:ind w:leftChars="0" w:right="0" w:rightChars="0"/>
              <w:jc w:val="left"/>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2.工作人员被投诉服务态度差，经查实，一次扣2分；</w:t>
            </w:r>
          </w:p>
          <w:p w14:paraId="74E85F92">
            <w:pPr>
              <w:widowControl w:val="0"/>
              <w:numPr>
                <w:ilvl w:val="0"/>
                <w:numId w:val="0"/>
              </w:numPr>
              <w:shd w:val="clear"/>
              <w:kinsoku w:val="0"/>
              <w:autoSpaceDE w:val="0"/>
              <w:autoSpaceDN w:val="0"/>
              <w:adjustRightInd w:val="0"/>
              <w:snapToGrid w:val="0"/>
              <w:spacing w:line="240" w:lineRule="auto"/>
              <w:ind w:leftChars="0" w:right="0" w:rightChars="0"/>
              <w:jc w:val="left"/>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3.对就餐人员反映餐饮质量问题，如发现菜品中有头发等异物，经查实未及时整改的，一次扣3分；因卫生问题被主要领导批评，扣全额分。</w:t>
            </w:r>
          </w:p>
        </w:tc>
        <w:tc>
          <w:tcPr>
            <w:tcW w:w="610" w:type="dxa"/>
            <w:gridSpan w:val="2"/>
            <w:noWrap w:val="0"/>
            <w:vAlign w:val="center"/>
          </w:tcPr>
          <w:p w14:paraId="0EFFDBB2">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10分</w:t>
            </w:r>
          </w:p>
        </w:tc>
        <w:tc>
          <w:tcPr>
            <w:tcW w:w="600" w:type="dxa"/>
            <w:noWrap w:val="0"/>
            <w:vAlign w:val="center"/>
          </w:tcPr>
          <w:p w14:paraId="55B4458F">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5" w:type="dxa"/>
            <w:gridSpan w:val="2"/>
            <w:noWrap w:val="0"/>
            <w:vAlign w:val="center"/>
          </w:tcPr>
          <w:p w14:paraId="191F4440">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r>
      <w:tr w14:paraId="44F44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13" w:type="dxa"/>
            <w:noWrap w:val="0"/>
            <w:vAlign w:val="center"/>
          </w:tcPr>
          <w:p w14:paraId="4C255446">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5</w:t>
            </w:r>
          </w:p>
        </w:tc>
        <w:tc>
          <w:tcPr>
            <w:tcW w:w="788" w:type="dxa"/>
            <w:noWrap w:val="0"/>
            <w:vAlign w:val="center"/>
          </w:tcPr>
          <w:p w14:paraId="2927D74A">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创新菜品方面（20分）</w:t>
            </w:r>
          </w:p>
        </w:tc>
        <w:tc>
          <w:tcPr>
            <w:tcW w:w="3001" w:type="dxa"/>
            <w:gridSpan w:val="2"/>
            <w:noWrap w:val="0"/>
            <w:vAlign w:val="center"/>
          </w:tcPr>
          <w:p w14:paraId="3ECE028C">
            <w:pPr>
              <w:numPr>
                <w:ilvl w:val="0"/>
                <w:numId w:val="0"/>
              </w:numPr>
              <w:shd w:val="clear"/>
              <w:adjustRightInd w:val="0"/>
              <w:snapToGrid w:val="0"/>
              <w:spacing w:line="360" w:lineRule="auto"/>
              <w:ind w:firstLine="240" w:firstLineChars="100"/>
              <w:jc w:val="left"/>
              <w:rPr>
                <w:rFonts w:hint="eastAsia" w:ascii="仿宋" w:hAnsi="仿宋" w:eastAsia="仿宋" w:cs="仿宋"/>
                <w:iCs/>
                <w:color w:val="000000" w:themeColor="text1"/>
                <w:sz w:val="24"/>
                <w:highlight w:val="none"/>
                <w:u w:val="none"/>
                <w:lang w:val="en-US" w:eastAsia="zh-CN"/>
                <w14:textFill>
                  <w14:solidFill>
                    <w14:schemeClr w14:val="tx1"/>
                  </w14:solidFill>
                </w14:textFill>
              </w:rPr>
            </w:pPr>
            <w:r>
              <w:rPr>
                <w:rFonts w:hint="eastAsia" w:ascii="仿宋" w:hAnsi="仿宋" w:eastAsia="仿宋" w:cs="仿宋"/>
                <w:iCs/>
                <w:color w:val="000000" w:themeColor="text1"/>
                <w:sz w:val="24"/>
                <w:highlight w:val="none"/>
                <w:u w:val="none"/>
                <w:lang w:val="en-US" w:eastAsia="zh-CN"/>
                <w14:textFill>
                  <w14:solidFill>
                    <w14:schemeClr w14:val="tx1"/>
                  </w14:solidFill>
                </w14:textFill>
              </w:rPr>
              <w:t>1.菜品创新要求：机关餐厅每月须完成两道菜品研发，其中包含一道面食、一道菜品；或餐厅原有常规菜品，在色、香、味造型等方面须实现明显优化提升。</w:t>
            </w:r>
          </w:p>
          <w:p w14:paraId="5BDB6121">
            <w:pPr>
              <w:numPr>
                <w:ilvl w:val="0"/>
                <w:numId w:val="0"/>
              </w:numPr>
              <w:shd w:val="clear"/>
              <w:adjustRightInd w:val="0"/>
              <w:snapToGrid w:val="0"/>
              <w:spacing w:line="360" w:lineRule="auto"/>
              <w:ind w:firstLine="240" w:firstLineChars="100"/>
              <w:jc w:val="left"/>
              <w:rPr>
                <w:rFonts w:hint="eastAsia" w:ascii="仿宋" w:hAnsi="仿宋" w:eastAsia="仿宋" w:cs="仿宋"/>
                <w:iCs/>
                <w:color w:val="000000" w:themeColor="text1"/>
                <w:sz w:val="24"/>
                <w:highlight w:val="none"/>
                <w:u w:val="none"/>
                <w:lang w:val="en-US" w:eastAsia="zh-CN"/>
                <w14:textFill>
                  <w14:solidFill>
                    <w14:schemeClr w14:val="tx1"/>
                  </w14:solidFill>
                </w14:textFill>
              </w:rPr>
            </w:pPr>
            <w:r>
              <w:rPr>
                <w:rFonts w:hint="eastAsia" w:ascii="仿宋" w:hAnsi="仿宋" w:eastAsia="仿宋" w:cs="仿宋"/>
                <w:iCs/>
                <w:color w:val="000000" w:themeColor="text1"/>
                <w:sz w:val="24"/>
                <w:highlight w:val="none"/>
                <w:u w:val="none"/>
                <w:lang w:val="en-US" w:eastAsia="zh-CN"/>
                <w14:textFill>
                  <w14:solidFill>
                    <w14:schemeClr w14:val="tx1"/>
                  </w14:solidFill>
                </w14:textFill>
              </w:rPr>
              <w:t>2.每月创新菜品须经餐厅管理考核小组集中评审、验收通过，承担公务接待菜品获得认可。</w:t>
            </w:r>
          </w:p>
          <w:p w14:paraId="40AFF7B6">
            <w:pPr>
              <w:widowControl w:val="0"/>
              <w:numPr>
                <w:ilvl w:val="0"/>
                <w:numId w:val="0"/>
              </w:numPr>
              <w:shd w:val="clear"/>
              <w:kinsoku w:val="0"/>
              <w:autoSpaceDE w:val="0"/>
              <w:autoSpaceDN w:val="0"/>
              <w:adjustRightInd w:val="0"/>
              <w:snapToGrid w:val="0"/>
              <w:spacing w:line="240" w:lineRule="auto"/>
              <w:ind w:leftChars="0" w:right="0" w:rightChars="0"/>
              <w:jc w:val="both"/>
              <w:textAlignment w:val="baseline"/>
              <w:rPr>
                <w:rFonts w:hint="eastAsia" w:ascii="仿宋" w:hAnsi="仿宋" w:eastAsia="仿宋" w:cs="仿宋"/>
                <w:iCs/>
                <w:color w:val="000000" w:themeColor="text1"/>
                <w:sz w:val="24"/>
                <w:highlight w:val="none"/>
                <w:u w:val="none"/>
                <w:lang w:val="en-US" w:eastAsia="zh-CN"/>
                <w14:textFill>
                  <w14:solidFill>
                    <w14:schemeClr w14:val="tx1"/>
                  </w14:solidFill>
                </w14:textFill>
              </w:rPr>
            </w:pPr>
          </w:p>
        </w:tc>
        <w:tc>
          <w:tcPr>
            <w:tcW w:w="2594" w:type="dxa"/>
            <w:noWrap w:val="0"/>
            <w:vAlign w:val="center"/>
          </w:tcPr>
          <w:p w14:paraId="54891D6D">
            <w:pPr>
              <w:widowControl w:val="0"/>
              <w:numPr>
                <w:ilvl w:val="0"/>
                <w:numId w:val="0"/>
              </w:numPr>
              <w:shd w:val="clear"/>
              <w:kinsoku w:val="0"/>
              <w:autoSpaceDE w:val="0"/>
              <w:autoSpaceDN w:val="0"/>
              <w:adjustRightInd w:val="0"/>
              <w:snapToGrid w:val="0"/>
              <w:spacing w:line="240" w:lineRule="auto"/>
              <w:ind w:leftChars="0" w:right="0" w:rightChars="0"/>
              <w:jc w:val="left"/>
              <w:textAlignment w:val="baseline"/>
              <w:rPr>
                <w:rFonts w:hint="eastAsia" w:ascii="仿宋" w:hAnsi="仿宋" w:eastAsia="仿宋" w:cs="仿宋"/>
                <w:iCs/>
                <w:color w:val="000000" w:themeColor="text1"/>
                <w:sz w:val="24"/>
                <w:highlight w:val="none"/>
                <w:u w:val="none"/>
                <w:lang w:val="en-US" w:eastAsia="zh-CN"/>
                <w14:textFill>
                  <w14:solidFill>
                    <w14:schemeClr w14:val="tx1"/>
                  </w14:solidFill>
                </w14:textFill>
              </w:rPr>
            </w:pPr>
          </w:p>
          <w:p w14:paraId="53992E9A">
            <w:pPr>
              <w:widowControl w:val="0"/>
              <w:numPr>
                <w:ilvl w:val="0"/>
                <w:numId w:val="0"/>
              </w:numPr>
              <w:shd w:val="clear"/>
              <w:kinsoku w:val="0"/>
              <w:autoSpaceDE w:val="0"/>
              <w:autoSpaceDN w:val="0"/>
              <w:adjustRightInd w:val="0"/>
              <w:snapToGrid w:val="0"/>
              <w:spacing w:line="240" w:lineRule="auto"/>
              <w:ind w:leftChars="0" w:right="0" w:rightChars="0"/>
              <w:jc w:val="left"/>
              <w:textAlignment w:val="baseline"/>
              <w:rPr>
                <w:rFonts w:hint="eastAsia" w:ascii="仿宋" w:hAnsi="仿宋" w:eastAsia="仿宋" w:cs="仿宋"/>
                <w:iCs/>
                <w:color w:val="000000" w:themeColor="text1"/>
                <w:sz w:val="24"/>
                <w:highlight w:val="none"/>
                <w:u w:val="none"/>
                <w:lang w:val="en-US" w:eastAsia="zh-CN"/>
                <w14:textFill>
                  <w14:solidFill>
                    <w14:schemeClr w14:val="tx1"/>
                  </w14:solidFill>
                </w14:textFill>
              </w:rPr>
            </w:pPr>
            <w:r>
              <w:rPr>
                <w:rFonts w:hint="eastAsia" w:ascii="仿宋" w:hAnsi="仿宋" w:eastAsia="仿宋" w:cs="仿宋"/>
                <w:iCs/>
                <w:color w:val="000000" w:themeColor="text1"/>
                <w:sz w:val="24"/>
                <w:highlight w:val="none"/>
                <w:u w:val="none"/>
                <w:lang w:val="en-US" w:eastAsia="zh-CN"/>
                <w14:textFill>
                  <w14:solidFill>
                    <w14:schemeClr w14:val="tx1"/>
                  </w14:solidFill>
                </w14:textFill>
              </w:rPr>
              <w:t>当月未完成两道菜品研发、色香味等方面无明显提升扣全额分；有创新菜品但领导小组未通过扣10分；</w:t>
            </w:r>
          </w:p>
        </w:tc>
        <w:tc>
          <w:tcPr>
            <w:tcW w:w="610" w:type="dxa"/>
            <w:gridSpan w:val="2"/>
            <w:noWrap w:val="0"/>
            <w:vAlign w:val="center"/>
          </w:tcPr>
          <w:p w14:paraId="33C6849C">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pPr>
            <w:r>
              <w:rPr>
                <w:rFonts w:hint="eastAsia" w:ascii="仿宋" w:hAnsi="仿宋" w:eastAsia="仿宋" w:cs="仿宋"/>
                <w:snapToGrid w:val="0"/>
                <w:color w:val="000000" w:themeColor="text1"/>
                <w:kern w:val="0"/>
                <w:sz w:val="24"/>
                <w:szCs w:val="24"/>
                <w:highlight w:val="none"/>
                <w:vertAlign w:val="baseline"/>
                <w:lang w:val="en-US" w:eastAsia="zh-CN"/>
                <w14:textFill>
                  <w14:solidFill>
                    <w14:schemeClr w14:val="tx1"/>
                  </w14:solidFill>
                </w14:textFill>
              </w:rPr>
              <w:t>20分</w:t>
            </w:r>
          </w:p>
        </w:tc>
        <w:tc>
          <w:tcPr>
            <w:tcW w:w="600" w:type="dxa"/>
            <w:noWrap w:val="0"/>
            <w:vAlign w:val="center"/>
          </w:tcPr>
          <w:p w14:paraId="7925CAFF">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c>
          <w:tcPr>
            <w:tcW w:w="785" w:type="dxa"/>
            <w:gridSpan w:val="2"/>
            <w:noWrap w:val="0"/>
            <w:vAlign w:val="center"/>
          </w:tcPr>
          <w:p w14:paraId="3FC126F0">
            <w:pPr>
              <w:widowControl w:val="0"/>
              <w:shd w:val="clear"/>
              <w:kinsoku w:val="0"/>
              <w:autoSpaceDE w:val="0"/>
              <w:autoSpaceDN w:val="0"/>
              <w:adjustRightInd w:val="0"/>
              <w:snapToGrid w:val="0"/>
              <w:spacing w:line="240" w:lineRule="auto"/>
              <w:ind w:left="0" w:leftChars="0" w:right="0" w:rightChars="0" w:firstLine="0" w:firstLineChars="0"/>
              <w:jc w:val="center"/>
              <w:textAlignment w:val="baseline"/>
              <w:rPr>
                <w:rFonts w:hint="eastAsia" w:ascii="仿宋" w:hAnsi="仿宋" w:eastAsia="仿宋" w:cs="仿宋"/>
                <w:snapToGrid w:val="0"/>
                <w:color w:val="000000" w:themeColor="text1"/>
                <w:kern w:val="0"/>
                <w:sz w:val="24"/>
                <w:szCs w:val="24"/>
                <w:highlight w:val="none"/>
                <w:vertAlign w:val="baseline"/>
                <w:lang w:eastAsia="en-US"/>
                <w14:textFill>
                  <w14:solidFill>
                    <w14:schemeClr w14:val="tx1"/>
                  </w14:solidFill>
                </w14:textFill>
              </w:rPr>
            </w:pPr>
          </w:p>
        </w:tc>
      </w:tr>
    </w:tbl>
    <w:p w14:paraId="184E7A10">
      <w:pPr>
        <w:pStyle w:val="2"/>
        <w:shd w:val="clear"/>
        <w:ind w:firstLine="960" w:firstLineChars="300"/>
        <w:rPr>
          <w:rFonts w:hint="eastAsia" w:ascii="仿宋" w:hAnsi="仿宋" w:eastAsia="仿宋" w:cs="仿宋"/>
          <w:color w:val="000000" w:themeColor="text1"/>
          <w:sz w:val="32"/>
          <w:szCs w:val="32"/>
          <w:highlight w:val="none"/>
          <w:u w:val="single"/>
          <w:lang w:val="en-US" w:eastAsia="zh-CN"/>
          <w14:textFill>
            <w14:solidFill>
              <w14:schemeClr w14:val="tx1"/>
            </w14:solidFill>
          </w14:textFill>
        </w:rPr>
      </w:pPr>
      <w:r>
        <w:rPr>
          <w:rFonts w:hint="eastAsia" w:ascii="仿宋" w:hAnsi="仿宋" w:eastAsia="仿宋" w:cs="仿宋"/>
          <w:color w:val="000000" w:themeColor="text1"/>
          <w:sz w:val="32"/>
          <w:szCs w:val="32"/>
          <w:highlight w:val="none"/>
          <w:u w:val="single"/>
          <w:lang w:val="en-US" w:eastAsia="zh-CN"/>
          <w14:textFill>
            <w14:solidFill>
              <w14:schemeClr w14:val="tx1"/>
            </w14:solidFill>
          </w14:textFill>
        </w:rPr>
        <w:t>注：考核表内容可根据实际情况经双方协商调整</w:t>
      </w:r>
    </w:p>
    <w:p w14:paraId="10CC6C8A">
      <w:pPr>
        <w:pStyle w:val="2"/>
        <w:shd w:val="clear"/>
        <w:ind w:firstLine="960" w:firstLineChars="300"/>
        <w:rPr>
          <w:rFonts w:hint="eastAsia" w:ascii="仿宋" w:hAnsi="仿宋" w:eastAsia="仿宋" w:cs="仿宋"/>
          <w:color w:val="000000" w:themeColor="text1"/>
          <w:sz w:val="32"/>
          <w:szCs w:val="32"/>
          <w:highlight w:val="none"/>
          <w:lang w:val="en-US" w:eastAsia="zh-CN"/>
          <w14:textFill>
            <w14:solidFill>
              <w14:schemeClr w14:val="tx1"/>
            </w14:solidFill>
          </w14:textFill>
        </w:rPr>
      </w:pPr>
    </w:p>
    <w:p w14:paraId="606556AD">
      <w:pPr>
        <w:pStyle w:val="2"/>
        <w:shd w:val="clear"/>
        <w:ind w:firstLine="960" w:firstLineChars="300"/>
        <w:rPr>
          <w:rFonts w:hint="eastAsia" w:ascii="仿宋" w:hAnsi="仿宋" w:eastAsia="仿宋" w:cs="仿宋"/>
          <w:color w:val="000000" w:themeColor="text1"/>
          <w:sz w:val="32"/>
          <w:szCs w:val="32"/>
          <w:highlight w:val="none"/>
          <w:lang w:val="en-US" w:eastAsia="zh-CN"/>
          <w14:textFill>
            <w14:solidFill>
              <w14:schemeClr w14:val="tx1"/>
            </w14:solidFill>
          </w14:textFill>
        </w:rPr>
      </w:pPr>
    </w:p>
    <w:p w14:paraId="114DB5C3">
      <w:pPr>
        <w:keepNext w:val="0"/>
        <w:keepLines w:val="0"/>
        <w:pageBreakBefore w:val="0"/>
        <w:widowControl w:val="0"/>
        <w:numPr>
          <w:ilvl w:val="0"/>
          <w:numId w:val="0"/>
        </w:numPr>
        <w:shd w:val="clear"/>
        <w:kinsoku/>
        <w:wordWrap/>
        <w:overflowPunct/>
        <w:topLinePunct w:val="0"/>
        <w:autoSpaceDE/>
        <w:autoSpaceDN/>
        <w:bidi w:val="0"/>
        <w:adjustRightInd/>
        <w:snapToGrid/>
        <w:spacing w:line="520" w:lineRule="exact"/>
        <w:jc w:val="both"/>
        <w:textAlignment w:val="auto"/>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5EE9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F7A1E3">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EF7A1E3">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DE3023"/>
    <w:multiLevelType w:val="singleLevel"/>
    <w:tmpl w:val="E1DE302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mYTcwYWNlNWQxOGRjYTRjYzNhY2NiMjU5ZmE4ZTgifQ=="/>
  </w:docVars>
  <w:rsids>
    <w:rsidRoot w:val="00000000"/>
    <w:rsid w:val="00515C5E"/>
    <w:rsid w:val="00A92715"/>
    <w:rsid w:val="00BE1545"/>
    <w:rsid w:val="00D42C52"/>
    <w:rsid w:val="016C71F3"/>
    <w:rsid w:val="01CE57B8"/>
    <w:rsid w:val="01F01BD2"/>
    <w:rsid w:val="01FF3BC3"/>
    <w:rsid w:val="0250441F"/>
    <w:rsid w:val="02743DA7"/>
    <w:rsid w:val="02785724"/>
    <w:rsid w:val="02AB31F2"/>
    <w:rsid w:val="02C866AB"/>
    <w:rsid w:val="03035935"/>
    <w:rsid w:val="031C69F7"/>
    <w:rsid w:val="036444DB"/>
    <w:rsid w:val="03A03208"/>
    <w:rsid w:val="03E2379C"/>
    <w:rsid w:val="04186A4A"/>
    <w:rsid w:val="044004C3"/>
    <w:rsid w:val="047D0DD8"/>
    <w:rsid w:val="04CE3D21"/>
    <w:rsid w:val="068B011B"/>
    <w:rsid w:val="074508B9"/>
    <w:rsid w:val="074B1659"/>
    <w:rsid w:val="07746E01"/>
    <w:rsid w:val="081E61F8"/>
    <w:rsid w:val="083D5445"/>
    <w:rsid w:val="09776735"/>
    <w:rsid w:val="09DC47EA"/>
    <w:rsid w:val="09E518F1"/>
    <w:rsid w:val="0A076F66"/>
    <w:rsid w:val="0A432ABB"/>
    <w:rsid w:val="0AF12EB8"/>
    <w:rsid w:val="0C0D15D3"/>
    <w:rsid w:val="0C766ABA"/>
    <w:rsid w:val="0CB22CD0"/>
    <w:rsid w:val="0DDE4FD5"/>
    <w:rsid w:val="0E0F0D64"/>
    <w:rsid w:val="0E7E40C2"/>
    <w:rsid w:val="0EB83308"/>
    <w:rsid w:val="0ECC307F"/>
    <w:rsid w:val="0EDE1004"/>
    <w:rsid w:val="0EE841D3"/>
    <w:rsid w:val="104B2919"/>
    <w:rsid w:val="10AE7046"/>
    <w:rsid w:val="10B71B0D"/>
    <w:rsid w:val="111807FE"/>
    <w:rsid w:val="11B04EDA"/>
    <w:rsid w:val="11DE0BC2"/>
    <w:rsid w:val="11ED7CD2"/>
    <w:rsid w:val="11F27D2E"/>
    <w:rsid w:val="12086AC4"/>
    <w:rsid w:val="12511B3B"/>
    <w:rsid w:val="13541011"/>
    <w:rsid w:val="143C0CA7"/>
    <w:rsid w:val="14643D5A"/>
    <w:rsid w:val="158C6090"/>
    <w:rsid w:val="161936A1"/>
    <w:rsid w:val="169F55AB"/>
    <w:rsid w:val="16C3210F"/>
    <w:rsid w:val="17081314"/>
    <w:rsid w:val="17285513"/>
    <w:rsid w:val="17807ED6"/>
    <w:rsid w:val="17AC7EF2"/>
    <w:rsid w:val="18697B91"/>
    <w:rsid w:val="191714F0"/>
    <w:rsid w:val="19401123"/>
    <w:rsid w:val="19742C91"/>
    <w:rsid w:val="198B076F"/>
    <w:rsid w:val="19B67A26"/>
    <w:rsid w:val="1A5170BA"/>
    <w:rsid w:val="1ADB796C"/>
    <w:rsid w:val="1B270013"/>
    <w:rsid w:val="1B310CCB"/>
    <w:rsid w:val="1B8258B9"/>
    <w:rsid w:val="1BC075D2"/>
    <w:rsid w:val="1BE7599C"/>
    <w:rsid w:val="1C71170A"/>
    <w:rsid w:val="1CF06AD2"/>
    <w:rsid w:val="1CF47BD6"/>
    <w:rsid w:val="1DC67833"/>
    <w:rsid w:val="1DF52D8A"/>
    <w:rsid w:val="1E0F2F88"/>
    <w:rsid w:val="1E472722"/>
    <w:rsid w:val="1E4D49BD"/>
    <w:rsid w:val="1E763007"/>
    <w:rsid w:val="1EEA12FF"/>
    <w:rsid w:val="1EFD54D7"/>
    <w:rsid w:val="1F3D3B25"/>
    <w:rsid w:val="1F3F1041"/>
    <w:rsid w:val="1FFC753C"/>
    <w:rsid w:val="20542ED4"/>
    <w:rsid w:val="20D52840"/>
    <w:rsid w:val="215018EE"/>
    <w:rsid w:val="219E4D4F"/>
    <w:rsid w:val="22105521"/>
    <w:rsid w:val="221C2118"/>
    <w:rsid w:val="226B049F"/>
    <w:rsid w:val="22B440FE"/>
    <w:rsid w:val="22C4276F"/>
    <w:rsid w:val="23775858"/>
    <w:rsid w:val="23C57EB4"/>
    <w:rsid w:val="23F63CF1"/>
    <w:rsid w:val="24062738"/>
    <w:rsid w:val="246D0A09"/>
    <w:rsid w:val="247104F9"/>
    <w:rsid w:val="24B46637"/>
    <w:rsid w:val="24B91EA0"/>
    <w:rsid w:val="24C74FB8"/>
    <w:rsid w:val="251610A0"/>
    <w:rsid w:val="252C7274"/>
    <w:rsid w:val="25A71BD7"/>
    <w:rsid w:val="26024709"/>
    <w:rsid w:val="272E26D1"/>
    <w:rsid w:val="27541C38"/>
    <w:rsid w:val="279D7857"/>
    <w:rsid w:val="27CD384F"/>
    <w:rsid w:val="27DF2BF9"/>
    <w:rsid w:val="2987483E"/>
    <w:rsid w:val="29C7610D"/>
    <w:rsid w:val="29E76364"/>
    <w:rsid w:val="2A1970CD"/>
    <w:rsid w:val="2A77358E"/>
    <w:rsid w:val="2A7F3244"/>
    <w:rsid w:val="2A922F77"/>
    <w:rsid w:val="2AC05D36"/>
    <w:rsid w:val="2AC2001C"/>
    <w:rsid w:val="2ACC6A20"/>
    <w:rsid w:val="2ADC41F2"/>
    <w:rsid w:val="2B4F0E68"/>
    <w:rsid w:val="2B712262"/>
    <w:rsid w:val="2C145739"/>
    <w:rsid w:val="2CF25F4F"/>
    <w:rsid w:val="2D197980"/>
    <w:rsid w:val="2D4875A2"/>
    <w:rsid w:val="2DEA4E78"/>
    <w:rsid w:val="2DF9330D"/>
    <w:rsid w:val="2E092246"/>
    <w:rsid w:val="2E6A7D67"/>
    <w:rsid w:val="2F0579A3"/>
    <w:rsid w:val="2FB579C7"/>
    <w:rsid w:val="2FF40230"/>
    <w:rsid w:val="303625F7"/>
    <w:rsid w:val="30CD5E8E"/>
    <w:rsid w:val="30D065A7"/>
    <w:rsid w:val="30F878AC"/>
    <w:rsid w:val="31132938"/>
    <w:rsid w:val="31BF55F5"/>
    <w:rsid w:val="32222E32"/>
    <w:rsid w:val="324C4353"/>
    <w:rsid w:val="32D97192"/>
    <w:rsid w:val="33B977C6"/>
    <w:rsid w:val="3481537F"/>
    <w:rsid w:val="349B3370"/>
    <w:rsid w:val="35BE10C4"/>
    <w:rsid w:val="366D1B3C"/>
    <w:rsid w:val="369167D9"/>
    <w:rsid w:val="36B36B59"/>
    <w:rsid w:val="37D72C50"/>
    <w:rsid w:val="387A39BB"/>
    <w:rsid w:val="38995E18"/>
    <w:rsid w:val="38BD38B5"/>
    <w:rsid w:val="39280186"/>
    <w:rsid w:val="398E34A3"/>
    <w:rsid w:val="3A325BDD"/>
    <w:rsid w:val="3BA42B0A"/>
    <w:rsid w:val="3BA935D7"/>
    <w:rsid w:val="3BE6767C"/>
    <w:rsid w:val="3C333E8E"/>
    <w:rsid w:val="3C6127A9"/>
    <w:rsid w:val="3C862210"/>
    <w:rsid w:val="3C917532"/>
    <w:rsid w:val="3CD70CBD"/>
    <w:rsid w:val="3D6F5ADF"/>
    <w:rsid w:val="3DAB63D2"/>
    <w:rsid w:val="3E0D0C64"/>
    <w:rsid w:val="3E2B306F"/>
    <w:rsid w:val="3F381EE7"/>
    <w:rsid w:val="3F762A0F"/>
    <w:rsid w:val="3FBD3436"/>
    <w:rsid w:val="3FF878C8"/>
    <w:rsid w:val="40646D0C"/>
    <w:rsid w:val="407670B5"/>
    <w:rsid w:val="40EB11DB"/>
    <w:rsid w:val="410F0A26"/>
    <w:rsid w:val="41850CE8"/>
    <w:rsid w:val="41BB6E00"/>
    <w:rsid w:val="41CF3835"/>
    <w:rsid w:val="423A7D24"/>
    <w:rsid w:val="42825A3B"/>
    <w:rsid w:val="42890CAC"/>
    <w:rsid w:val="42CB6BCE"/>
    <w:rsid w:val="42EA5260"/>
    <w:rsid w:val="430D368B"/>
    <w:rsid w:val="433724B6"/>
    <w:rsid w:val="435D5DE3"/>
    <w:rsid w:val="439C5C3A"/>
    <w:rsid w:val="43FB7987"/>
    <w:rsid w:val="440E1469"/>
    <w:rsid w:val="456652D4"/>
    <w:rsid w:val="45CD7101"/>
    <w:rsid w:val="46537607"/>
    <w:rsid w:val="46DC75FC"/>
    <w:rsid w:val="47213261"/>
    <w:rsid w:val="47555584"/>
    <w:rsid w:val="476F66C2"/>
    <w:rsid w:val="47A72F0F"/>
    <w:rsid w:val="47F210A1"/>
    <w:rsid w:val="48050DD4"/>
    <w:rsid w:val="486A0C38"/>
    <w:rsid w:val="486A6177"/>
    <w:rsid w:val="48916BBC"/>
    <w:rsid w:val="48E97F66"/>
    <w:rsid w:val="48F826E7"/>
    <w:rsid w:val="4A464AE8"/>
    <w:rsid w:val="4A985F30"/>
    <w:rsid w:val="4AD30D16"/>
    <w:rsid w:val="4B95246F"/>
    <w:rsid w:val="4BC92119"/>
    <w:rsid w:val="4C0849EF"/>
    <w:rsid w:val="4C7958ED"/>
    <w:rsid w:val="4D704F42"/>
    <w:rsid w:val="4E7E7ED5"/>
    <w:rsid w:val="4EF23735"/>
    <w:rsid w:val="505C47EA"/>
    <w:rsid w:val="50642410"/>
    <w:rsid w:val="507C59AC"/>
    <w:rsid w:val="516271C1"/>
    <w:rsid w:val="518752CC"/>
    <w:rsid w:val="519805C3"/>
    <w:rsid w:val="52884ADC"/>
    <w:rsid w:val="52D012AA"/>
    <w:rsid w:val="53202F66"/>
    <w:rsid w:val="53672943"/>
    <w:rsid w:val="540006A2"/>
    <w:rsid w:val="547F1F0F"/>
    <w:rsid w:val="54FD33DC"/>
    <w:rsid w:val="557C1FAA"/>
    <w:rsid w:val="55853555"/>
    <w:rsid w:val="558C043F"/>
    <w:rsid w:val="567E1A1F"/>
    <w:rsid w:val="56965C3A"/>
    <w:rsid w:val="573C40E7"/>
    <w:rsid w:val="578A4E52"/>
    <w:rsid w:val="57D90DF2"/>
    <w:rsid w:val="57EE53E1"/>
    <w:rsid w:val="5813309A"/>
    <w:rsid w:val="585F008D"/>
    <w:rsid w:val="58C148A4"/>
    <w:rsid w:val="58E97957"/>
    <w:rsid w:val="59162E41"/>
    <w:rsid w:val="5955323E"/>
    <w:rsid w:val="5971586D"/>
    <w:rsid w:val="5A132EDD"/>
    <w:rsid w:val="5A380B96"/>
    <w:rsid w:val="5B174C4F"/>
    <w:rsid w:val="5B230B75"/>
    <w:rsid w:val="5C40250C"/>
    <w:rsid w:val="5CFB5EAA"/>
    <w:rsid w:val="5D081F0E"/>
    <w:rsid w:val="5D406FEA"/>
    <w:rsid w:val="5DB6074F"/>
    <w:rsid w:val="5DC310BE"/>
    <w:rsid w:val="5EBD78BB"/>
    <w:rsid w:val="5EFC72AE"/>
    <w:rsid w:val="5F0B0627"/>
    <w:rsid w:val="5F5B4AFD"/>
    <w:rsid w:val="5F7C1524"/>
    <w:rsid w:val="5F7F2DC3"/>
    <w:rsid w:val="60233110"/>
    <w:rsid w:val="606342C3"/>
    <w:rsid w:val="608508AD"/>
    <w:rsid w:val="6091252A"/>
    <w:rsid w:val="60FB6160"/>
    <w:rsid w:val="615F4C5A"/>
    <w:rsid w:val="616F6B22"/>
    <w:rsid w:val="61F510A5"/>
    <w:rsid w:val="62602EA6"/>
    <w:rsid w:val="62C84A81"/>
    <w:rsid w:val="6445741D"/>
    <w:rsid w:val="652112DE"/>
    <w:rsid w:val="657513D4"/>
    <w:rsid w:val="65E02131"/>
    <w:rsid w:val="65FA31A3"/>
    <w:rsid w:val="6612673F"/>
    <w:rsid w:val="662326FA"/>
    <w:rsid w:val="67073DC9"/>
    <w:rsid w:val="67256946"/>
    <w:rsid w:val="67682376"/>
    <w:rsid w:val="679C0992"/>
    <w:rsid w:val="67CE48E7"/>
    <w:rsid w:val="680E73DA"/>
    <w:rsid w:val="682B3E77"/>
    <w:rsid w:val="68E72104"/>
    <w:rsid w:val="692A0C26"/>
    <w:rsid w:val="699A7177"/>
    <w:rsid w:val="69CC4E56"/>
    <w:rsid w:val="69E46644"/>
    <w:rsid w:val="69F745C9"/>
    <w:rsid w:val="6A521800"/>
    <w:rsid w:val="6AA33E09"/>
    <w:rsid w:val="6AD62431"/>
    <w:rsid w:val="6AE664B7"/>
    <w:rsid w:val="6AE82164"/>
    <w:rsid w:val="6B7A7C19"/>
    <w:rsid w:val="6B7B6B34"/>
    <w:rsid w:val="6BA240C1"/>
    <w:rsid w:val="6BB40298"/>
    <w:rsid w:val="6C1825D5"/>
    <w:rsid w:val="6C262F44"/>
    <w:rsid w:val="6C372009"/>
    <w:rsid w:val="6D233F48"/>
    <w:rsid w:val="6D631F76"/>
    <w:rsid w:val="6D6A50B2"/>
    <w:rsid w:val="6D726570"/>
    <w:rsid w:val="6D7777CF"/>
    <w:rsid w:val="6DC01176"/>
    <w:rsid w:val="6DEF7365"/>
    <w:rsid w:val="6E065E7A"/>
    <w:rsid w:val="6E174FAB"/>
    <w:rsid w:val="6E751F61"/>
    <w:rsid w:val="6ED76AC9"/>
    <w:rsid w:val="6F0A3EF3"/>
    <w:rsid w:val="6F3E040D"/>
    <w:rsid w:val="6FD725AD"/>
    <w:rsid w:val="701D465E"/>
    <w:rsid w:val="703E6382"/>
    <w:rsid w:val="707F70C6"/>
    <w:rsid w:val="70812E3F"/>
    <w:rsid w:val="70974410"/>
    <w:rsid w:val="70E138DD"/>
    <w:rsid w:val="71F87130"/>
    <w:rsid w:val="722C6FE8"/>
    <w:rsid w:val="734D525A"/>
    <w:rsid w:val="73B43EE5"/>
    <w:rsid w:val="73D03795"/>
    <w:rsid w:val="74130252"/>
    <w:rsid w:val="75026141"/>
    <w:rsid w:val="750F7709"/>
    <w:rsid w:val="751D68E1"/>
    <w:rsid w:val="757D16FB"/>
    <w:rsid w:val="75F6649A"/>
    <w:rsid w:val="766D5846"/>
    <w:rsid w:val="76773158"/>
    <w:rsid w:val="76F36118"/>
    <w:rsid w:val="77366005"/>
    <w:rsid w:val="77B21B30"/>
    <w:rsid w:val="77BC29AE"/>
    <w:rsid w:val="78362761"/>
    <w:rsid w:val="78911745"/>
    <w:rsid w:val="78913205"/>
    <w:rsid w:val="78D635FC"/>
    <w:rsid w:val="78DD16DB"/>
    <w:rsid w:val="7A7237F8"/>
    <w:rsid w:val="7A9B2196"/>
    <w:rsid w:val="7AF10BC1"/>
    <w:rsid w:val="7B1D19B6"/>
    <w:rsid w:val="7B4231CA"/>
    <w:rsid w:val="7B452CBB"/>
    <w:rsid w:val="7BFD5343"/>
    <w:rsid w:val="7CD80901"/>
    <w:rsid w:val="7DBC3708"/>
    <w:rsid w:val="7DD16A88"/>
    <w:rsid w:val="7DF84014"/>
    <w:rsid w:val="7E325778"/>
    <w:rsid w:val="7E8B30DA"/>
    <w:rsid w:val="7ED14F91"/>
    <w:rsid w:val="7F2D4191"/>
    <w:rsid w:val="7F673200"/>
    <w:rsid w:val="7FEC43B7"/>
    <w:rsid w:val="7FFA6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6530</Words>
  <Characters>6716</Characters>
  <Lines>0</Lines>
  <Paragraphs>0</Paragraphs>
  <TotalTime>4</TotalTime>
  <ScaleCrop>false</ScaleCrop>
  <LinksUpToDate>false</LinksUpToDate>
  <CharactersWithSpaces>7360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2022-05-11T01:50:00Z</dcterms:created>
  <dc:creator>111</dc:creator>
  <cp:lastModifiedBy>*^米粒儿^*</cp:lastModifiedBy>
  <cp:lastPrinted>2026-02-26T12:44:00Z</cp:lastPrinted>
  <dcterms:modified xsi:type="dcterms:W3CDTF">2026-03-20T06:31:04Z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9F72CC9BB6D04536A0B9D6AC42DEDA60</vt:lpwstr>
  </property>
  <property fmtid="{D5CDD505-2E9C-101B-9397-08002B2CF9AE}" pid="4" name="KSOTemplateDocerSaveRecord">
    <vt:lpwstr>eyJoZGlkIjoiM2FhYWYwZDkxZTVkNWJhNjI1N2IxNzQ4ZDRhYjkzNmMiLCJ1c2VySWQiOiIzMzQ0NTYxOTAifQ==</vt:lpwstr>
  </property>
</Properties>
</file>