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版本号：WYZFCG-202600120260320001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铜川市王益区公务用车更新项目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WYZFCG-2026001</w:t>
      </w:r>
      <w:r>
        <w:br/>
      </w:r>
      <w:r>
        <w:br/>
      </w:r>
      <w:r>
        <w:br/>
      </w:r>
    </w:p>
    <w:p>
      <w:pPr>
        <w:pStyle w:val="null3"/>
        <w:jc w:val="center"/>
        <w:outlineLvl w:val="2"/>
      </w:pPr>
      <w:r>
        <w:rPr>
          <w:rFonts w:ascii="仿宋_GB2312" w:hAnsi="仿宋_GB2312" w:cs="仿宋_GB2312" w:eastAsia="仿宋_GB2312"/>
          <w:sz w:val="28"/>
          <w:b/>
        </w:rPr>
        <w:t>铜川市王益区机关事务管理服务中心</w:t>
      </w:r>
    </w:p>
    <w:p>
      <w:pPr>
        <w:pStyle w:val="null3"/>
        <w:jc w:val="center"/>
        <w:outlineLvl w:val="2"/>
      </w:pPr>
      <w:r>
        <w:rPr>
          <w:rFonts w:ascii="仿宋_GB2312" w:hAnsi="仿宋_GB2312" w:cs="仿宋_GB2312" w:eastAsia="仿宋_GB2312"/>
          <w:sz w:val="28"/>
          <w:b/>
        </w:rPr>
        <w:t>铜川市王益区政府采购中心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铜川市王益区政府采购中心</w:t>
      </w:r>
      <w:r>
        <w:rPr>
          <w:rFonts w:ascii="仿宋_GB2312" w:hAnsi="仿宋_GB2312" w:cs="仿宋_GB2312" w:eastAsia="仿宋_GB2312"/>
        </w:rPr>
        <w:t>（以下简称“代理机构”）受</w:t>
      </w:r>
      <w:r>
        <w:rPr>
          <w:rFonts w:ascii="仿宋_GB2312" w:hAnsi="仿宋_GB2312" w:cs="仿宋_GB2312" w:eastAsia="仿宋_GB2312"/>
        </w:rPr>
        <w:t>铜川市王益区机关事务管理服务中心</w:t>
      </w:r>
      <w:r>
        <w:rPr>
          <w:rFonts w:ascii="仿宋_GB2312" w:hAnsi="仿宋_GB2312" w:cs="仿宋_GB2312" w:eastAsia="仿宋_GB2312"/>
        </w:rPr>
        <w:t>委托，拟对</w:t>
      </w:r>
      <w:r>
        <w:rPr>
          <w:rFonts w:ascii="仿宋_GB2312" w:hAnsi="仿宋_GB2312" w:cs="仿宋_GB2312" w:eastAsia="仿宋_GB2312"/>
        </w:rPr>
        <w:t>铜川市王益区公务用车更新项目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WYZFCG-2026001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铜川市王益区公务用车更新项目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采购公务用车3辆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材料：提供有效存续的企业营业执照（副本）/事业单位法人证书/专业服务机构执业许可证/民办非企业单位登记证书（以上四种形式的资料提供任何一种即可），自然人提供身份证；投标人需在项目电子化交易系统中按要求上传相应证明文件并进行电子签章。</w:t>
      </w:r>
    </w:p>
    <w:p>
      <w:pPr>
        <w:pStyle w:val="null3"/>
      </w:pPr>
      <w:r>
        <w:rPr>
          <w:rFonts w:ascii="仿宋_GB2312" w:hAnsi="仿宋_GB2312" w:cs="仿宋_GB2312" w:eastAsia="仿宋_GB2312"/>
        </w:rPr>
        <w:t>2、具有良好的商业信誉：提供中国裁判文书网（https://wenshu.court.gov.cn/）无行贿犯罪行为记录的查询截图，并附良好商业信誉声明函（格式自拟，需法定代表人签字并加盖单位公章）；投标人需在项目电子化交易系统中按要求上传相应证明文件并进行电子签章。</w:t>
      </w:r>
    </w:p>
    <w:p>
      <w:pPr>
        <w:pStyle w:val="null3"/>
      </w:pPr>
      <w:r>
        <w:rPr>
          <w:rFonts w:ascii="仿宋_GB2312" w:hAnsi="仿宋_GB2312" w:cs="仿宋_GB2312" w:eastAsia="仿宋_GB2312"/>
        </w:rPr>
        <w:t>3、具有良好的财务制度：提供近三年（2023年、2024年、2025年）任意一年度的经会计师事务所或审计机构审计的财务审计报告(包括审计报告、资产负债表、利润表、现金流量表、所有者权益变动表、附注等全部内容，成立时间至提交响应文件截止时间不足一年的可提供成立后任意时段的资产负债表)和财务情况说明书，或2025年8月至今基本存款账户开户银行出具的资信证明，或信用担保机构出具的投标担保函；投标人需在项目电子化交易系统中按要求上传相应证明文件并进行电子签章。</w:t>
      </w:r>
    </w:p>
    <w:p>
      <w:pPr>
        <w:pStyle w:val="null3"/>
      </w:pPr>
      <w:r>
        <w:rPr>
          <w:rFonts w:ascii="仿宋_GB2312" w:hAnsi="仿宋_GB2312" w:cs="仿宋_GB2312" w:eastAsia="仿宋_GB2312"/>
        </w:rPr>
        <w:t>4、依法缴纳税收的证明材料：提供2025年8月1日至今已缴纳的至少一个月的纳税证明或完税证明（提供增值税、营业税、企业所得税中的至少一种），纳税证明或完税证明上应有代收机构或税务机关的公章或业务专用章。依法免税的单位应提供相关证明材料；投标人需在项目电子化交易系统中按要求上传相应证明文件并进行电子签章。</w:t>
      </w:r>
    </w:p>
    <w:p>
      <w:pPr>
        <w:pStyle w:val="null3"/>
      </w:pPr>
      <w:r>
        <w:rPr>
          <w:rFonts w:ascii="仿宋_GB2312" w:hAnsi="仿宋_GB2312" w:cs="仿宋_GB2312" w:eastAsia="仿宋_GB2312"/>
        </w:rPr>
        <w:t>5、依法缴纳社会保障资金的证明材料：提供2025年8月1日至今已缴存的至少一个月的社会保障资金缴存单据或社保机构开具的社会保险参保缴费情况证明；投标人需在项目电子化交易系统中按要求上传相应证明文件并进行电子签章。</w:t>
      </w:r>
    </w:p>
    <w:p>
      <w:pPr>
        <w:pStyle w:val="null3"/>
      </w:pPr>
      <w:r>
        <w:rPr>
          <w:rFonts w:ascii="仿宋_GB2312" w:hAnsi="仿宋_GB2312" w:cs="仿宋_GB2312" w:eastAsia="仿宋_GB2312"/>
        </w:rPr>
        <w:t>6、法定代表人或法定代表授权人：法定代表人（负责人）直接参加投标的，须出具法定代表人（负责人）身份证明及身份证复印件，并与营业执照上信息一致；法定代表人（负责人）授权代表参加投标的，须出具法定代表人（负责人）授权书及授权代表身份证复印件；投标人需在项目电子化交易系统中按要求上传相应证明文件并进行电子签章。</w:t>
      </w:r>
    </w:p>
    <w:p>
      <w:pPr>
        <w:pStyle w:val="null3"/>
      </w:pPr>
      <w:r>
        <w:rPr>
          <w:rFonts w:ascii="仿宋_GB2312" w:hAnsi="仿宋_GB2312" w:cs="仿宋_GB2312" w:eastAsia="仿宋_GB2312"/>
        </w:rPr>
        <w:t>7、具有履行合同所必需的设备和专业技术能力：提供具有履行合同所必需的设备和专业技术能力的声明；投标人需在项目电子化交易系统中按要求上传相应证明文件并进行电子签章。</w:t>
      </w:r>
    </w:p>
    <w:p>
      <w:pPr>
        <w:pStyle w:val="null3"/>
      </w:pPr>
      <w:r>
        <w:rPr>
          <w:rFonts w:ascii="仿宋_GB2312" w:hAnsi="仿宋_GB2312" w:cs="仿宋_GB2312" w:eastAsia="仿宋_GB2312"/>
        </w:rPr>
        <w:t>8、参加本次政府采购活动前3年内在经营活动中没有重大违法记录或被起诉：提供参加本次政府采购活动前3年内在经营活动中没有重大违法记录或被起诉的声明；投标人需在项目电子化交易系统中按要求上传相应证明文件并进行电子签章。</w:t>
      </w:r>
    </w:p>
    <w:p>
      <w:pPr>
        <w:pStyle w:val="null3"/>
      </w:pPr>
      <w:r>
        <w:rPr>
          <w:rFonts w:ascii="仿宋_GB2312" w:hAnsi="仿宋_GB2312" w:cs="仿宋_GB2312" w:eastAsia="仿宋_GB2312"/>
        </w:rPr>
        <w:t>9、无关联声明：提供单位负责人为同一人或者存在直接控股、管理关系的不同投标人，不得参加同一合同项下的政府采购活动的书面声明；投标人需在项目电子化交易系统中按要求上传相应证明文件并进行电子签章。</w:t>
      </w:r>
    </w:p>
    <w:p>
      <w:pPr>
        <w:pStyle w:val="null3"/>
      </w:pPr>
      <w:r>
        <w:rPr>
          <w:rFonts w:ascii="仿宋_GB2312" w:hAnsi="仿宋_GB2312" w:cs="仿宋_GB2312" w:eastAsia="仿宋_GB2312"/>
        </w:rPr>
        <w:t>10、非联合体投标：提供非联合体投标的承诺书；投标人需在项目电子化交易系统中按要求上传相应证明文件并进行电子签章。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铜川市王益区机关事务管理服务中心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铜川市红旗街9号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铜川市王益区机关事务管理服务中心经办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13909198521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铜川市王益区政府采购中心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铜川市王益区七一路11号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吴喜玲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13909194719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铜川市王益区政府采购管理股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0919-2582209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采购包1：495,400.00元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铜川市王益区机关事务管理服务中心</w:t>
      </w:r>
      <w:r>
        <w:rPr>
          <w:rFonts w:ascii="仿宋_GB2312" w:hAnsi="仿宋_GB2312" w:cs="仿宋_GB2312" w:eastAsia="仿宋_GB2312"/>
        </w:rPr>
        <w:t>和</w:t>
      </w:r>
      <w:r>
        <w:rPr>
          <w:rFonts w:ascii="仿宋_GB2312" w:hAnsi="仿宋_GB2312" w:cs="仿宋_GB2312" w:eastAsia="仿宋_GB2312"/>
        </w:rPr>
        <w:t>铜川市王益区政府采购中心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铜川市王益区机关事务管理服务中心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铜川市王益区政府采购中心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铜川市王益区机关事务管理服务中心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铜川市王益区政府采购中心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要求乙方所供产品质量必须全面且严格符合国家强制性标准及行业质量验收规范，同时需满足相关法规要求。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铜川市王益区政府采购中心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铜川市王益区政府采购中心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铜川市王益区政府采购中心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联系人：吴喜玲</w:t>
      </w:r>
    </w:p>
    <w:p>
      <w:pPr>
        <w:pStyle w:val="null3"/>
      </w:pPr>
      <w:r>
        <w:rPr>
          <w:rFonts w:ascii="仿宋_GB2312" w:hAnsi="仿宋_GB2312" w:cs="仿宋_GB2312" w:eastAsia="仿宋_GB2312"/>
        </w:rPr>
        <w:t>联系电话：0919-2188222</w:t>
      </w:r>
    </w:p>
    <w:p>
      <w:pPr>
        <w:pStyle w:val="null3"/>
      </w:pPr>
      <w:r>
        <w:rPr>
          <w:rFonts w:ascii="仿宋_GB2312" w:hAnsi="仿宋_GB2312" w:cs="仿宋_GB2312" w:eastAsia="仿宋_GB2312"/>
        </w:rPr>
        <w:t>地址：铜川市王益区五一路企业楼采购中心</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采购公务用车3辆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495,400.00</w:t>
      </w:r>
    </w:p>
    <w:p>
      <w:pPr>
        <w:pStyle w:val="null3"/>
      </w:pPr>
      <w:r>
        <w:rPr>
          <w:rFonts w:ascii="仿宋_GB2312" w:hAnsi="仿宋_GB2312" w:cs="仿宋_GB2312" w:eastAsia="仿宋_GB2312"/>
        </w:rPr>
        <w:t>采购包最高限价（元）: 495,400.00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359600</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359,600.00</w:t>
            </w:r>
          </w:p>
        </w:tc>
        <w:tc>
          <w:tcPr>
            <w:tcW w:type="dxa" w:w="831"/>
          </w:tcPr>
          <w:p>
            <w:pPr>
              <w:pStyle w:val="null3"/>
            </w:pPr>
            <w:r>
              <w:rPr>
                <w:rFonts w:ascii="仿宋_GB2312" w:hAnsi="仿宋_GB2312" w:cs="仿宋_GB2312" w:eastAsia="仿宋_GB2312"/>
              </w:rPr>
              <w:t>辆</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135800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135,800.00</w:t>
            </w:r>
          </w:p>
        </w:tc>
        <w:tc>
          <w:tcPr>
            <w:tcW w:type="dxa" w:w="831"/>
          </w:tcPr>
          <w:p>
            <w:pPr>
              <w:pStyle w:val="null3"/>
            </w:pPr>
            <w:r>
              <w:rPr>
                <w:rFonts w:ascii="仿宋_GB2312" w:hAnsi="仿宋_GB2312" w:cs="仿宋_GB2312" w:eastAsia="仿宋_GB2312"/>
              </w:rPr>
              <w:t>辆</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标的名称：359600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技术</w:t>
            </w:r>
            <w:r>
              <w:rPr>
                <w:rFonts w:ascii="仿宋_GB2312" w:hAnsi="仿宋_GB2312" w:cs="仿宋_GB2312" w:eastAsia="仿宋_GB2312"/>
                <w:sz w:val="21"/>
              </w:rPr>
              <w:t>参数要求：</w:t>
            </w:r>
          </w:p>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基本参数</w:t>
            </w:r>
          </w:p>
          <w:p>
            <w:pPr>
              <w:pStyle w:val="null3"/>
              <w:jc w:val="both"/>
            </w:pPr>
            <w:r>
              <w:rPr>
                <w:rFonts w:ascii="仿宋_GB2312" w:hAnsi="仿宋_GB2312" w:cs="仿宋_GB2312" w:eastAsia="仿宋_GB2312"/>
                <w:sz w:val="21"/>
              </w:rPr>
              <w:t>1.能源类型：汽油</w:t>
            </w:r>
          </w:p>
          <w:p>
            <w:pPr>
              <w:pStyle w:val="null3"/>
              <w:jc w:val="both"/>
            </w:pPr>
            <w:r>
              <w:rPr>
                <w:rFonts w:ascii="仿宋_GB2312" w:hAnsi="仿宋_GB2312" w:cs="仿宋_GB2312" w:eastAsia="仿宋_GB2312"/>
                <w:sz w:val="21"/>
              </w:rPr>
              <w:t>2.排放标准：</w:t>
            </w:r>
            <w:r>
              <w:rPr>
                <w:rFonts w:ascii="仿宋_GB2312" w:hAnsi="仿宋_GB2312" w:cs="仿宋_GB2312" w:eastAsia="仿宋_GB2312"/>
                <w:sz w:val="21"/>
              </w:rPr>
              <w:t>国</w:t>
            </w:r>
            <w:r>
              <w:rPr>
                <w:rFonts w:ascii="仿宋_GB2312" w:hAnsi="仿宋_GB2312" w:cs="仿宋_GB2312" w:eastAsia="仿宋_GB2312"/>
                <w:sz w:val="21"/>
              </w:rPr>
              <w:t>VI</w:t>
            </w:r>
          </w:p>
          <w:p>
            <w:pPr>
              <w:pStyle w:val="null3"/>
              <w:jc w:val="both"/>
            </w:pPr>
            <w:r>
              <w:rPr>
                <w:rFonts w:ascii="仿宋_GB2312" w:hAnsi="仿宋_GB2312" w:cs="仿宋_GB2312" w:eastAsia="仿宋_GB2312"/>
                <w:sz w:val="21"/>
              </w:rPr>
              <w:t>3.车身结构：4门5座三厢车</w:t>
            </w:r>
          </w:p>
          <w:p>
            <w:pPr>
              <w:pStyle w:val="null3"/>
              <w:jc w:val="both"/>
            </w:pPr>
            <w:r>
              <w:rPr>
                <w:rFonts w:ascii="仿宋_GB2312" w:hAnsi="仿宋_GB2312" w:cs="仿宋_GB2312" w:eastAsia="仿宋_GB2312"/>
                <w:sz w:val="21"/>
              </w:rPr>
              <w:t>4.发动机排量：</w:t>
            </w:r>
            <w:r>
              <w:rPr>
                <w:rFonts w:ascii="仿宋_GB2312" w:hAnsi="仿宋_GB2312" w:cs="仿宋_GB2312" w:eastAsia="仿宋_GB2312"/>
                <w:sz w:val="21"/>
              </w:rPr>
              <w:t>≥</w:t>
            </w:r>
            <w:r>
              <w:rPr>
                <w:rFonts w:ascii="仿宋_GB2312" w:hAnsi="仿宋_GB2312" w:cs="仿宋_GB2312" w:eastAsia="仿宋_GB2312"/>
                <w:sz w:val="21"/>
              </w:rPr>
              <w:t>1.8T</w:t>
            </w:r>
          </w:p>
          <w:p>
            <w:pPr>
              <w:pStyle w:val="null3"/>
              <w:jc w:val="both"/>
            </w:pPr>
            <w:r>
              <w:rPr>
                <w:rFonts w:ascii="仿宋_GB2312" w:hAnsi="仿宋_GB2312" w:cs="仿宋_GB2312" w:eastAsia="仿宋_GB2312"/>
                <w:sz w:val="21"/>
              </w:rPr>
              <w:t>5.变速箱:</w:t>
            </w:r>
            <w:r>
              <w:rPr>
                <w:rFonts w:ascii="仿宋_GB2312" w:hAnsi="仿宋_GB2312" w:cs="仿宋_GB2312" w:eastAsia="仿宋_GB2312"/>
                <w:sz w:val="21"/>
              </w:rPr>
              <w:t>≥</w:t>
            </w:r>
            <w:r>
              <w:rPr>
                <w:rFonts w:ascii="仿宋_GB2312" w:hAnsi="仿宋_GB2312" w:cs="仿宋_GB2312" w:eastAsia="仿宋_GB2312"/>
                <w:sz w:val="21"/>
              </w:rPr>
              <w:t>7挡自动挡</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车身</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车身总长</w:t>
            </w:r>
            <w:r>
              <w:rPr>
                <w:rFonts w:ascii="仿宋_GB2312" w:hAnsi="仿宋_GB2312" w:cs="仿宋_GB2312" w:eastAsia="仿宋_GB2312"/>
                <w:sz w:val="21"/>
              </w:rPr>
              <w:t>≥4</w:t>
            </w:r>
            <w:r>
              <w:rPr>
                <w:rFonts w:ascii="仿宋_GB2312" w:hAnsi="仿宋_GB2312" w:cs="仿宋_GB2312" w:eastAsia="仿宋_GB2312"/>
                <w:sz w:val="21"/>
              </w:rPr>
              <w:t>85</w:t>
            </w:r>
            <w:r>
              <w:rPr>
                <w:rFonts w:ascii="仿宋_GB2312" w:hAnsi="仿宋_GB2312" w:cs="仿宋_GB2312" w:eastAsia="仿宋_GB2312"/>
                <w:sz w:val="21"/>
              </w:rPr>
              <w:t>0mm</w:t>
            </w:r>
          </w:p>
          <w:p>
            <w:pPr>
              <w:pStyle w:val="null3"/>
              <w:ind w:firstLine="210"/>
              <w:jc w:val="both"/>
            </w:pPr>
            <w:r>
              <w:rPr>
                <w:rFonts w:ascii="仿宋_GB2312" w:hAnsi="仿宋_GB2312" w:cs="仿宋_GB2312" w:eastAsia="仿宋_GB2312"/>
                <w:sz w:val="21"/>
              </w:rPr>
              <w:t>车身总宽</w:t>
            </w:r>
            <w:r>
              <w:rPr>
                <w:rFonts w:ascii="仿宋_GB2312" w:hAnsi="仿宋_GB2312" w:cs="仿宋_GB2312" w:eastAsia="仿宋_GB2312"/>
                <w:sz w:val="21"/>
              </w:rPr>
              <w:t>≥18</w:t>
            </w:r>
            <w:r>
              <w:rPr>
                <w:rFonts w:ascii="仿宋_GB2312" w:hAnsi="仿宋_GB2312" w:cs="仿宋_GB2312" w:eastAsia="仿宋_GB2312"/>
                <w:sz w:val="21"/>
              </w:rPr>
              <w:t>3</w:t>
            </w:r>
            <w:r>
              <w:rPr>
                <w:rFonts w:ascii="仿宋_GB2312" w:hAnsi="仿宋_GB2312" w:cs="仿宋_GB2312" w:eastAsia="仿宋_GB2312"/>
                <w:sz w:val="21"/>
              </w:rPr>
              <w:t>0mm</w:t>
            </w:r>
          </w:p>
          <w:p>
            <w:pPr>
              <w:pStyle w:val="null3"/>
              <w:ind w:firstLine="210"/>
              <w:jc w:val="both"/>
            </w:pPr>
            <w:r>
              <w:rPr>
                <w:rFonts w:ascii="仿宋_GB2312" w:hAnsi="仿宋_GB2312" w:cs="仿宋_GB2312" w:eastAsia="仿宋_GB2312"/>
                <w:sz w:val="21"/>
              </w:rPr>
              <w:t>车身总高</w:t>
            </w:r>
            <w:r>
              <w:rPr>
                <w:rFonts w:ascii="仿宋_GB2312" w:hAnsi="仿宋_GB2312" w:cs="仿宋_GB2312" w:eastAsia="仿宋_GB2312"/>
                <w:sz w:val="21"/>
              </w:rPr>
              <w:t>≥1</w:t>
            </w:r>
            <w:r>
              <w:rPr>
                <w:rFonts w:ascii="仿宋_GB2312" w:hAnsi="仿宋_GB2312" w:cs="仿宋_GB2312" w:eastAsia="仿宋_GB2312"/>
                <w:sz w:val="21"/>
              </w:rPr>
              <w:t>45</w:t>
            </w:r>
            <w:r>
              <w:rPr>
                <w:rFonts w:ascii="仿宋_GB2312" w:hAnsi="仿宋_GB2312" w:cs="仿宋_GB2312" w:eastAsia="仿宋_GB2312"/>
                <w:sz w:val="21"/>
              </w:rPr>
              <w:t>0mm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轴距</w:t>
            </w:r>
            <w:r>
              <w:rPr>
                <w:rFonts w:ascii="仿宋_GB2312" w:hAnsi="仿宋_GB2312" w:cs="仿宋_GB2312" w:eastAsia="仿宋_GB2312"/>
                <w:sz w:val="21"/>
              </w:rPr>
              <w:t>≥</w:t>
            </w:r>
            <w:r>
              <w:rPr>
                <w:rFonts w:ascii="仿宋_GB2312" w:hAnsi="仿宋_GB2312" w:cs="仿宋_GB2312" w:eastAsia="仿宋_GB2312"/>
                <w:sz w:val="21"/>
              </w:rPr>
              <w:t>27</w:t>
            </w:r>
            <w:r>
              <w:rPr>
                <w:rFonts w:ascii="仿宋_GB2312" w:hAnsi="仿宋_GB2312" w:cs="仿宋_GB2312" w:eastAsia="仿宋_GB2312"/>
                <w:sz w:val="21"/>
              </w:rPr>
              <w:t>00mm</w:t>
            </w:r>
          </w:p>
          <w:p>
            <w:pPr>
              <w:pStyle w:val="null3"/>
              <w:jc w:val="both"/>
            </w:pPr>
            <w:r>
              <w:rPr>
                <w:rFonts w:ascii="仿宋_GB2312" w:hAnsi="仿宋_GB2312" w:cs="仿宋_GB2312" w:eastAsia="仿宋_GB2312"/>
                <w:sz w:val="21"/>
              </w:rPr>
              <w:t>三、发动机</w:t>
            </w:r>
          </w:p>
          <w:p>
            <w:pPr>
              <w:pStyle w:val="null3"/>
              <w:jc w:val="both"/>
            </w:pPr>
            <w:r>
              <w:rPr>
                <w:rFonts w:ascii="仿宋_GB2312" w:hAnsi="仿宋_GB2312" w:cs="仿宋_GB2312" w:eastAsia="仿宋_GB2312"/>
                <w:sz w:val="21"/>
              </w:rPr>
              <w:t>1.进气形式：涡轮增压</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最大功率</w:t>
            </w:r>
            <w:r>
              <w:rPr>
                <w:rFonts w:ascii="仿宋_GB2312" w:hAnsi="仿宋_GB2312" w:cs="仿宋_GB2312" w:eastAsia="仿宋_GB2312"/>
                <w:sz w:val="21"/>
              </w:rPr>
              <w:t>≥135</w:t>
            </w:r>
            <w:r>
              <w:rPr>
                <w:rFonts w:ascii="仿宋_GB2312" w:hAnsi="仿宋_GB2312" w:cs="仿宋_GB2312" w:eastAsia="仿宋_GB2312"/>
                <w:sz w:val="21"/>
              </w:rPr>
              <w:t>kW</w:t>
            </w:r>
          </w:p>
          <w:p>
            <w:pPr>
              <w:pStyle w:val="null3"/>
              <w:jc w:val="both"/>
            </w:pPr>
            <w:r>
              <w:rPr>
                <w:rFonts w:ascii="仿宋_GB2312" w:hAnsi="仿宋_GB2312" w:cs="仿宋_GB2312" w:eastAsia="仿宋_GB2312"/>
                <w:sz w:val="21"/>
              </w:rPr>
              <w:t>3.燃油标号：95号或以上</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底盘转向与车轮制动</w:t>
            </w:r>
          </w:p>
          <w:p>
            <w:pPr>
              <w:pStyle w:val="null3"/>
              <w:jc w:val="both"/>
            </w:pPr>
            <w:r>
              <w:rPr>
                <w:rFonts w:ascii="仿宋_GB2312" w:hAnsi="仿宋_GB2312" w:cs="仿宋_GB2312" w:eastAsia="仿宋_GB2312"/>
                <w:sz w:val="21"/>
              </w:rPr>
              <w:t>1.驱动形式：前置前驱</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前悬架类型</w:t>
            </w:r>
            <w:r>
              <w:rPr>
                <w:rFonts w:ascii="仿宋_GB2312" w:hAnsi="仿宋_GB2312" w:cs="仿宋_GB2312" w:eastAsia="仿宋_GB2312"/>
                <w:sz w:val="21"/>
              </w:rPr>
              <w:t>:麦弗逊式独立悬架</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后悬架类型</w:t>
            </w:r>
            <w:r>
              <w:rPr>
                <w:rFonts w:ascii="仿宋_GB2312" w:hAnsi="仿宋_GB2312" w:cs="仿宋_GB2312" w:eastAsia="仿宋_GB2312"/>
                <w:sz w:val="21"/>
              </w:rPr>
              <w:t>:多连杆式独立悬架</w:t>
            </w:r>
          </w:p>
          <w:p>
            <w:pPr>
              <w:pStyle w:val="null3"/>
              <w:jc w:val="both"/>
            </w:pPr>
            <w:r>
              <w:rPr>
                <w:rFonts w:ascii="仿宋_GB2312" w:hAnsi="仿宋_GB2312" w:cs="仿宋_GB2312" w:eastAsia="仿宋_GB2312"/>
                <w:sz w:val="21"/>
              </w:rPr>
              <w:t>五、</w:t>
            </w:r>
            <w:r>
              <w:rPr>
                <w:rFonts w:ascii="仿宋_GB2312" w:hAnsi="仿宋_GB2312" w:cs="仿宋_GB2312" w:eastAsia="仿宋_GB2312"/>
                <w:sz w:val="21"/>
              </w:rPr>
              <w:t>配置要求</w:t>
            </w:r>
          </w:p>
          <w:p>
            <w:pPr>
              <w:pStyle w:val="null3"/>
              <w:jc w:val="both"/>
            </w:pPr>
            <w:r>
              <w:rPr>
                <w:rFonts w:ascii="仿宋_GB2312" w:hAnsi="仿宋_GB2312" w:cs="仿宋_GB2312" w:eastAsia="仿宋_GB2312"/>
                <w:sz w:val="21"/>
              </w:rPr>
              <w:t>1.全景天窗</w:t>
            </w:r>
          </w:p>
          <w:p>
            <w:pPr>
              <w:pStyle w:val="null3"/>
              <w:jc w:val="both"/>
            </w:pPr>
            <w:r>
              <w:rPr>
                <w:rFonts w:ascii="仿宋_GB2312" w:hAnsi="仿宋_GB2312" w:cs="仿宋_GB2312" w:eastAsia="仿宋_GB2312"/>
                <w:sz w:val="21"/>
              </w:rPr>
              <w:t>2.无钥匙进入系统(前门)</w:t>
            </w:r>
          </w:p>
          <w:p>
            <w:pPr>
              <w:pStyle w:val="null3"/>
              <w:jc w:val="both"/>
            </w:pPr>
            <w:r>
              <w:rPr>
                <w:rFonts w:ascii="仿宋_GB2312" w:hAnsi="仿宋_GB2312" w:cs="仿宋_GB2312" w:eastAsia="仿宋_GB2312"/>
                <w:sz w:val="21"/>
              </w:rPr>
              <w:t>3.LED前大灯</w:t>
            </w:r>
          </w:p>
          <w:p>
            <w:pPr>
              <w:pStyle w:val="null3"/>
              <w:jc w:val="both"/>
            </w:pPr>
            <w:r>
              <w:rPr>
                <w:rFonts w:ascii="仿宋_GB2312" w:hAnsi="仿宋_GB2312" w:cs="仿宋_GB2312" w:eastAsia="仿宋_GB2312"/>
                <w:sz w:val="21"/>
              </w:rPr>
              <w:t>4.自动大灯</w:t>
            </w:r>
          </w:p>
          <w:p>
            <w:pPr>
              <w:pStyle w:val="null3"/>
              <w:jc w:val="both"/>
            </w:pPr>
            <w:r>
              <w:rPr>
                <w:rFonts w:ascii="仿宋_GB2312" w:hAnsi="仿宋_GB2312" w:cs="仿宋_GB2312" w:eastAsia="仿宋_GB2312"/>
                <w:sz w:val="21"/>
              </w:rPr>
              <w:t>5.日间行车灯</w:t>
            </w:r>
          </w:p>
          <w:p>
            <w:pPr>
              <w:pStyle w:val="null3"/>
              <w:jc w:val="both"/>
            </w:pPr>
            <w:r>
              <w:rPr>
                <w:rFonts w:ascii="仿宋_GB2312" w:hAnsi="仿宋_GB2312" w:cs="仿宋_GB2312" w:eastAsia="仿宋_GB2312"/>
                <w:sz w:val="21"/>
              </w:rPr>
              <w:t>6.感应雨刷</w:t>
            </w:r>
          </w:p>
          <w:p>
            <w:pPr>
              <w:pStyle w:val="null3"/>
              <w:jc w:val="both"/>
            </w:pPr>
            <w:r>
              <w:rPr>
                <w:rFonts w:ascii="仿宋_GB2312" w:hAnsi="仿宋_GB2312" w:cs="仿宋_GB2312" w:eastAsia="仿宋_GB2312"/>
                <w:sz w:val="21"/>
              </w:rPr>
              <w:t>7.外后视镜电动调节、外后视镜加热、外后视镜电动折叠、外后视镜锁车自动折叠</w:t>
            </w:r>
          </w:p>
          <w:p>
            <w:pPr>
              <w:pStyle w:val="null3"/>
              <w:jc w:val="both"/>
            </w:pPr>
            <w:r>
              <w:rPr>
                <w:rFonts w:ascii="仿宋_GB2312" w:hAnsi="仿宋_GB2312" w:cs="仿宋_GB2312" w:eastAsia="仿宋_GB2312"/>
                <w:sz w:val="21"/>
              </w:rPr>
              <w:t>8.自动空调。</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主</w:t>
            </w:r>
            <w:r>
              <w:rPr>
                <w:rFonts w:ascii="仿宋_GB2312" w:hAnsi="仿宋_GB2312" w:cs="仿宋_GB2312" w:eastAsia="仿宋_GB2312"/>
                <w:sz w:val="21"/>
              </w:rPr>
              <w:t>/副驾驶座安全气囊</w:t>
            </w:r>
            <w:r>
              <w:rPr>
                <w:rFonts w:ascii="仿宋_GB2312" w:hAnsi="仿宋_GB2312" w:cs="仿宋_GB2312" w:eastAsia="仿宋_GB2312"/>
                <w:sz w:val="21"/>
              </w:rPr>
              <w:t>、</w:t>
            </w:r>
            <w:r>
              <w:rPr>
                <w:rFonts w:ascii="仿宋_GB2312" w:hAnsi="仿宋_GB2312" w:cs="仿宋_GB2312" w:eastAsia="仿宋_GB2312"/>
                <w:sz w:val="21"/>
              </w:rPr>
              <w:t>前</w:t>
            </w:r>
            <w:r>
              <w:rPr>
                <w:rFonts w:ascii="仿宋_GB2312" w:hAnsi="仿宋_GB2312" w:cs="仿宋_GB2312" w:eastAsia="仿宋_GB2312"/>
                <w:sz w:val="21"/>
              </w:rPr>
              <w:t>/后排头部气帘</w:t>
            </w:r>
            <w:r>
              <w:rPr>
                <w:rFonts w:ascii="仿宋_GB2312" w:hAnsi="仿宋_GB2312" w:cs="仿宋_GB2312" w:eastAsia="仿宋_GB2312"/>
                <w:sz w:val="21"/>
              </w:rPr>
              <w:t>、</w:t>
            </w:r>
            <w:r>
              <w:rPr>
                <w:rFonts w:ascii="仿宋_GB2312" w:hAnsi="仿宋_GB2312" w:cs="仿宋_GB2312" w:eastAsia="仿宋_GB2312"/>
                <w:sz w:val="21"/>
              </w:rPr>
              <w:t>前排侧气囊</w:t>
            </w:r>
            <w:r>
              <w:rPr>
                <w:rFonts w:ascii="仿宋_GB2312" w:hAnsi="仿宋_GB2312" w:cs="仿宋_GB2312" w:eastAsia="仿宋_GB2312"/>
                <w:sz w:val="21"/>
              </w:rPr>
              <w:t>、</w:t>
            </w:r>
            <w:r>
              <w:rPr>
                <w:rFonts w:ascii="仿宋_GB2312" w:hAnsi="仿宋_GB2312" w:cs="仿宋_GB2312" w:eastAsia="仿宋_GB2312"/>
                <w:sz w:val="21"/>
              </w:rPr>
              <w:t>后排侧气囊</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安全带未系提醒</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前</w:t>
            </w:r>
            <w:r>
              <w:rPr>
                <w:rFonts w:ascii="仿宋_GB2312" w:hAnsi="仿宋_GB2312" w:cs="仿宋_GB2312" w:eastAsia="仿宋_GB2312"/>
                <w:sz w:val="21"/>
              </w:rPr>
              <w:t>/</w:t>
            </w:r>
            <w:r>
              <w:rPr>
                <w:rFonts w:ascii="仿宋_GB2312" w:hAnsi="仿宋_GB2312" w:cs="仿宋_GB2312" w:eastAsia="仿宋_GB2312"/>
                <w:sz w:val="21"/>
              </w:rPr>
              <w:t>后驻车雷达驻车雷达</w:t>
            </w:r>
            <w:r>
              <w:rPr>
                <w:rFonts w:ascii="仿宋_GB2312" w:hAnsi="仿宋_GB2312" w:cs="仿宋_GB2312" w:eastAsia="仿宋_GB2312"/>
                <w:sz w:val="21"/>
              </w:rPr>
              <w:t>、</w:t>
            </w:r>
            <w:r>
              <w:rPr>
                <w:rFonts w:ascii="仿宋_GB2312" w:hAnsi="仿宋_GB2312" w:cs="仿宋_GB2312" w:eastAsia="仿宋_GB2312"/>
                <w:sz w:val="21"/>
              </w:rPr>
              <w:t>倒车影像</w:t>
            </w:r>
          </w:p>
          <w:p>
            <w:pPr>
              <w:pStyle w:val="null3"/>
            </w:pPr>
            <w:r>
              <w:rPr>
                <w:rFonts w:ascii="仿宋_GB2312" w:hAnsi="仿宋_GB2312" w:cs="仿宋_GB2312" w:eastAsia="仿宋_GB2312"/>
                <w:sz w:val="21"/>
              </w:rPr>
              <w:t>12.自适应巡航</w:t>
            </w:r>
          </w:p>
        </w:tc>
      </w:tr>
    </w:tbl>
    <w:p>
      <w:pPr>
        <w:pStyle w:val="null3"/>
      </w:pPr>
      <w:r>
        <w:rPr>
          <w:rFonts w:ascii="仿宋_GB2312" w:hAnsi="仿宋_GB2312" w:cs="仿宋_GB2312" w:eastAsia="仿宋_GB2312"/>
        </w:rPr>
        <w:t>标的名称：135800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技术</w:t>
            </w:r>
            <w:r>
              <w:rPr>
                <w:rFonts w:ascii="仿宋_GB2312" w:hAnsi="仿宋_GB2312" w:cs="仿宋_GB2312" w:eastAsia="仿宋_GB2312"/>
                <w:sz w:val="21"/>
              </w:rPr>
              <w:t>参数要求：</w:t>
            </w:r>
          </w:p>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基本参数</w:t>
            </w:r>
          </w:p>
          <w:p>
            <w:pPr>
              <w:pStyle w:val="null3"/>
              <w:jc w:val="both"/>
            </w:pPr>
            <w:r>
              <w:rPr>
                <w:rFonts w:ascii="仿宋_GB2312" w:hAnsi="仿宋_GB2312" w:cs="仿宋_GB2312" w:eastAsia="仿宋_GB2312"/>
              </w:rPr>
              <w:t>1.</w:t>
            </w:r>
            <w:r>
              <w:rPr>
                <w:rFonts w:ascii="仿宋_GB2312" w:hAnsi="仿宋_GB2312" w:cs="仿宋_GB2312" w:eastAsia="仿宋_GB2312"/>
                <w:sz w:val="21"/>
              </w:rPr>
              <w:t>能源类型</w:t>
            </w:r>
            <w:r>
              <w:rPr>
                <w:rFonts w:ascii="仿宋_GB2312" w:hAnsi="仿宋_GB2312" w:cs="仿宋_GB2312" w:eastAsia="仿宋_GB2312"/>
                <w:sz w:val="21"/>
              </w:rPr>
              <w:t>：</w:t>
            </w:r>
            <w:r>
              <w:rPr>
                <w:rFonts w:ascii="仿宋_GB2312" w:hAnsi="仿宋_GB2312" w:cs="仿宋_GB2312" w:eastAsia="仿宋_GB2312"/>
                <w:sz w:val="21"/>
              </w:rPr>
              <w:t>插电式混合动力</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CLTC纯电续航里程(km)</w:t>
            </w:r>
            <w:r>
              <w:rPr>
                <w:rFonts w:ascii="仿宋_GB2312" w:hAnsi="仿宋_GB2312" w:cs="仿宋_GB2312" w:eastAsia="仿宋_GB2312"/>
                <w:sz w:val="21"/>
              </w:rPr>
              <w:t>≥</w:t>
            </w:r>
            <w:r>
              <w:rPr>
                <w:rFonts w:ascii="仿宋_GB2312" w:hAnsi="仿宋_GB2312" w:cs="仿宋_GB2312" w:eastAsia="仿宋_GB2312"/>
                <w:sz w:val="21"/>
              </w:rPr>
              <w:t>115km</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排放标准：</w:t>
            </w:r>
            <w:r>
              <w:rPr>
                <w:rFonts w:ascii="仿宋_GB2312" w:hAnsi="仿宋_GB2312" w:cs="仿宋_GB2312" w:eastAsia="仿宋_GB2312"/>
                <w:sz w:val="21"/>
              </w:rPr>
              <w:t>国</w:t>
            </w:r>
            <w:r>
              <w:rPr>
                <w:rFonts w:ascii="仿宋_GB2312" w:hAnsi="仿宋_GB2312" w:cs="仿宋_GB2312" w:eastAsia="仿宋_GB2312"/>
                <w:sz w:val="21"/>
              </w:rPr>
              <w:t>VI</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车身结构：</w:t>
            </w:r>
            <w:r>
              <w:rPr>
                <w:rFonts w:ascii="仿宋_GB2312" w:hAnsi="仿宋_GB2312" w:cs="仿宋_GB2312" w:eastAsia="仿宋_GB2312"/>
                <w:sz w:val="21"/>
              </w:rPr>
              <w:t>5</w:t>
            </w:r>
            <w:r>
              <w:rPr>
                <w:rFonts w:ascii="仿宋_GB2312" w:hAnsi="仿宋_GB2312" w:cs="仿宋_GB2312" w:eastAsia="仿宋_GB2312"/>
                <w:sz w:val="21"/>
              </w:rPr>
              <w:t>门</w:t>
            </w:r>
            <w:r>
              <w:rPr>
                <w:rFonts w:ascii="仿宋_GB2312" w:hAnsi="仿宋_GB2312" w:cs="仿宋_GB2312" w:eastAsia="仿宋_GB2312"/>
                <w:sz w:val="21"/>
              </w:rPr>
              <w:t>5</w:t>
            </w:r>
            <w:r>
              <w:rPr>
                <w:rFonts w:ascii="仿宋_GB2312" w:hAnsi="仿宋_GB2312" w:cs="仿宋_GB2312" w:eastAsia="仿宋_GB2312"/>
                <w:sz w:val="21"/>
              </w:rPr>
              <w:t>座</w:t>
            </w:r>
            <w:r>
              <w:rPr>
                <w:rFonts w:ascii="仿宋_GB2312" w:hAnsi="仿宋_GB2312" w:cs="仿宋_GB2312" w:eastAsia="仿宋_GB2312"/>
                <w:sz w:val="21"/>
              </w:rPr>
              <w:t>SUV</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发动机排量</w:t>
            </w:r>
            <w:r>
              <w:rPr>
                <w:rFonts w:ascii="仿宋_GB2312" w:hAnsi="仿宋_GB2312" w:cs="仿宋_GB2312" w:eastAsia="仿宋_GB2312"/>
                <w:sz w:val="21"/>
              </w:rPr>
              <w:t>≥1.5</w:t>
            </w:r>
            <w:r>
              <w:rPr>
                <w:rFonts w:ascii="仿宋_GB2312" w:hAnsi="仿宋_GB2312" w:cs="仿宋_GB2312" w:eastAsia="仿宋_GB2312"/>
                <w:sz w:val="21"/>
              </w:rPr>
              <w:t>L</w:t>
            </w:r>
          </w:p>
          <w:p>
            <w:pPr>
              <w:pStyle w:val="null3"/>
              <w:jc w:val="both"/>
            </w:pPr>
            <w:r>
              <w:rPr>
                <w:rFonts w:ascii="仿宋_GB2312" w:hAnsi="仿宋_GB2312" w:cs="仿宋_GB2312" w:eastAsia="仿宋_GB2312"/>
                <w:sz w:val="21"/>
              </w:rPr>
              <w:t>6.悬架类型：（前悬）麦弗逊式独立悬架、（后悬）多连杆式独立悬架</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车身</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车身总长</w:t>
            </w:r>
            <w:r>
              <w:rPr>
                <w:rFonts w:ascii="仿宋_GB2312" w:hAnsi="仿宋_GB2312" w:cs="仿宋_GB2312" w:eastAsia="仿宋_GB2312"/>
                <w:sz w:val="21"/>
              </w:rPr>
              <w:t>≥4700mm</w:t>
            </w:r>
          </w:p>
          <w:p>
            <w:pPr>
              <w:pStyle w:val="null3"/>
              <w:ind w:firstLine="210"/>
              <w:jc w:val="both"/>
            </w:pPr>
            <w:r>
              <w:rPr>
                <w:rFonts w:ascii="仿宋_GB2312" w:hAnsi="仿宋_GB2312" w:cs="仿宋_GB2312" w:eastAsia="仿宋_GB2312"/>
                <w:sz w:val="21"/>
              </w:rPr>
              <w:t>车身总宽</w:t>
            </w:r>
            <w:r>
              <w:rPr>
                <w:rFonts w:ascii="仿宋_GB2312" w:hAnsi="仿宋_GB2312" w:cs="仿宋_GB2312" w:eastAsia="仿宋_GB2312"/>
                <w:sz w:val="21"/>
              </w:rPr>
              <w:t>≥18</w:t>
            </w:r>
            <w:r>
              <w:rPr>
                <w:rFonts w:ascii="仿宋_GB2312" w:hAnsi="仿宋_GB2312" w:cs="仿宋_GB2312" w:eastAsia="仿宋_GB2312"/>
                <w:sz w:val="21"/>
              </w:rPr>
              <w:t>5</w:t>
            </w:r>
            <w:r>
              <w:rPr>
                <w:rFonts w:ascii="仿宋_GB2312" w:hAnsi="仿宋_GB2312" w:cs="仿宋_GB2312" w:eastAsia="仿宋_GB2312"/>
                <w:sz w:val="21"/>
              </w:rPr>
              <w:t>0mm</w:t>
            </w:r>
          </w:p>
          <w:p>
            <w:pPr>
              <w:pStyle w:val="null3"/>
              <w:ind w:firstLine="210"/>
              <w:jc w:val="both"/>
            </w:pPr>
            <w:r>
              <w:rPr>
                <w:rFonts w:ascii="仿宋_GB2312" w:hAnsi="仿宋_GB2312" w:cs="仿宋_GB2312" w:eastAsia="仿宋_GB2312"/>
                <w:sz w:val="21"/>
              </w:rPr>
              <w:t>车身总高</w:t>
            </w:r>
            <w:r>
              <w:rPr>
                <w:rFonts w:ascii="仿宋_GB2312" w:hAnsi="仿宋_GB2312" w:cs="仿宋_GB2312" w:eastAsia="仿宋_GB2312"/>
                <w:sz w:val="21"/>
              </w:rPr>
              <w:t>≥16</w:t>
            </w:r>
            <w:r>
              <w:rPr>
                <w:rFonts w:ascii="仿宋_GB2312" w:hAnsi="仿宋_GB2312" w:cs="仿宋_GB2312" w:eastAsia="仿宋_GB2312"/>
                <w:sz w:val="21"/>
              </w:rPr>
              <w:t>5</w:t>
            </w:r>
            <w:r>
              <w:rPr>
                <w:rFonts w:ascii="仿宋_GB2312" w:hAnsi="仿宋_GB2312" w:cs="仿宋_GB2312" w:eastAsia="仿宋_GB2312"/>
                <w:sz w:val="21"/>
              </w:rPr>
              <w:t>0mm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轴距</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700mm</w:t>
            </w:r>
          </w:p>
          <w:p>
            <w:pPr>
              <w:pStyle w:val="null3"/>
              <w:jc w:val="both"/>
            </w:pPr>
            <w:r>
              <w:rPr>
                <w:rFonts w:ascii="仿宋_GB2312" w:hAnsi="仿宋_GB2312" w:cs="仿宋_GB2312" w:eastAsia="仿宋_GB2312"/>
                <w:sz w:val="21"/>
              </w:rPr>
              <w:t>3.油箱容积(L)：</w:t>
            </w:r>
            <w:r>
              <w:rPr>
                <w:rFonts w:ascii="仿宋_GB2312" w:hAnsi="仿宋_GB2312" w:cs="仿宋_GB2312" w:eastAsia="仿宋_GB2312"/>
                <w:sz w:val="21"/>
              </w:rPr>
              <w:t>≥</w:t>
            </w:r>
            <w:r>
              <w:rPr>
                <w:rFonts w:ascii="仿宋_GB2312" w:hAnsi="仿宋_GB2312" w:cs="仿宋_GB2312" w:eastAsia="仿宋_GB2312"/>
                <w:sz w:val="21"/>
              </w:rPr>
              <w:t>50</w:t>
            </w:r>
          </w:p>
          <w:p>
            <w:pPr>
              <w:pStyle w:val="null3"/>
              <w:jc w:val="both"/>
            </w:pPr>
            <w:r>
              <w:rPr>
                <w:rFonts w:ascii="仿宋_GB2312" w:hAnsi="仿宋_GB2312" w:cs="仿宋_GB2312" w:eastAsia="仿宋_GB2312"/>
                <w:sz w:val="21"/>
              </w:rPr>
              <w:t>三、发动机</w:t>
            </w:r>
          </w:p>
          <w:p>
            <w:pPr>
              <w:pStyle w:val="null3"/>
              <w:jc w:val="both"/>
            </w:pPr>
            <w:r>
              <w:rPr>
                <w:rFonts w:ascii="仿宋_GB2312" w:hAnsi="仿宋_GB2312" w:cs="仿宋_GB2312" w:eastAsia="仿宋_GB2312"/>
                <w:sz w:val="21"/>
              </w:rPr>
              <w:t>1.进气形式：自然吸气或涡轮增压</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最大功率</w:t>
            </w:r>
            <w:r>
              <w:rPr>
                <w:rFonts w:ascii="仿宋_GB2312" w:hAnsi="仿宋_GB2312" w:cs="仿宋_GB2312" w:eastAsia="仿宋_GB2312"/>
                <w:sz w:val="21"/>
              </w:rPr>
              <w:t>≥</w:t>
            </w:r>
            <w:r>
              <w:rPr>
                <w:rFonts w:ascii="仿宋_GB2312" w:hAnsi="仿宋_GB2312" w:cs="仿宋_GB2312" w:eastAsia="仿宋_GB2312"/>
                <w:sz w:val="21"/>
              </w:rPr>
              <w:t>70kW</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.最大扭矩≥1</w:t>
            </w:r>
            <w:r>
              <w:rPr>
                <w:rFonts w:ascii="仿宋_GB2312" w:hAnsi="仿宋_GB2312" w:cs="仿宋_GB2312" w:eastAsia="仿宋_GB2312"/>
                <w:sz w:val="21"/>
              </w:rPr>
              <w:t>25</w:t>
            </w:r>
            <w:r>
              <w:rPr>
                <w:rFonts w:ascii="仿宋_GB2312" w:hAnsi="仿宋_GB2312" w:cs="仿宋_GB2312" w:eastAsia="仿宋_GB2312"/>
                <w:sz w:val="21"/>
              </w:rPr>
              <w:t>N*m</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燃油标号</w:t>
            </w:r>
            <w:r>
              <w:rPr>
                <w:rFonts w:ascii="仿宋_GB2312" w:hAnsi="仿宋_GB2312" w:cs="仿宋_GB2312" w:eastAsia="仿宋_GB2312"/>
                <w:sz w:val="21"/>
              </w:rPr>
              <w:t>：</w:t>
            </w:r>
            <w:r>
              <w:rPr>
                <w:rFonts w:ascii="仿宋_GB2312" w:hAnsi="仿宋_GB2312" w:cs="仿宋_GB2312" w:eastAsia="仿宋_GB2312"/>
                <w:sz w:val="21"/>
              </w:rPr>
              <w:t>92号或以上</w:t>
            </w:r>
          </w:p>
          <w:p>
            <w:pPr>
              <w:pStyle w:val="null3"/>
              <w:jc w:val="both"/>
            </w:pPr>
            <w:r>
              <w:rPr>
                <w:rFonts w:ascii="仿宋_GB2312" w:hAnsi="仿宋_GB2312" w:cs="仿宋_GB2312" w:eastAsia="仿宋_GB2312"/>
                <w:sz w:val="21"/>
              </w:rPr>
              <w:t>5.驱动形式：前置前驱</w:t>
            </w:r>
          </w:p>
          <w:p>
            <w:pPr>
              <w:pStyle w:val="null3"/>
              <w:jc w:val="both"/>
            </w:pPr>
            <w:r>
              <w:rPr>
                <w:rFonts w:ascii="仿宋_GB2312" w:hAnsi="仿宋_GB2312" w:cs="仿宋_GB2312" w:eastAsia="仿宋_GB2312"/>
                <w:sz w:val="21"/>
              </w:rPr>
              <w:t>四、电动机与电池</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电动机总功率</w:t>
            </w:r>
            <w:r>
              <w:rPr>
                <w:rFonts w:ascii="仿宋_GB2312" w:hAnsi="仿宋_GB2312" w:cs="仿宋_GB2312" w:eastAsia="仿宋_GB2312"/>
                <w:sz w:val="21"/>
              </w:rPr>
              <w:t>(kW)</w:t>
            </w:r>
            <w:r>
              <w:rPr>
                <w:rFonts w:ascii="仿宋_GB2312" w:hAnsi="仿宋_GB2312" w:cs="仿宋_GB2312" w:eastAsia="仿宋_GB2312"/>
                <w:sz w:val="21"/>
              </w:rPr>
              <w:t>≥</w:t>
            </w:r>
            <w:r>
              <w:rPr>
                <w:rFonts w:ascii="仿宋_GB2312" w:hAnsi="仿宋_GB2312" w:cs="仿宋_GB2312" w:eastAsia="仿宋_GB2312"/>
                <w:sz w:val="21"/>
              </w:rPr>
              <w:t>120</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电动机总扭矩</w:t>
            </w:r>
            <w:r>
              <w:rPr>
                <w:rFonts w:ascii="仿宋_GB2312" w:hAnsi="仿宋_GB2312" w:cs="仿宋_GB2312" w:eastAsia="仿宋_GB2312"/>
                <w:sz w:val="21"/>
              </w:rPr>
              <w:t>(N·m)</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10</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电机布局：前置</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电池类型：磷酸铁锂电池</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电池能量</w:t>
            </w:r>
            <w:r>
              <w:rPr>
                <w:rFonts w:ascii="仿宋_GB2312" w:hAnsi="仿宋_GB2312" w:cs="仿宋_GB2312" w:eastAsia="仿宋_GB2312"/>
                <w:sz w:val="21"/>
              </w:rPr>
              <w:t>(kWh)</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18</w:t>
            </w:r>
          </w:p>
          <w:p>
            <w:pPr>
              <w:pStyle w:val="null3"/>
              <w:jc w:val="both"/>
            </w:pPr>
            <w:r>
              <w:rPr>
                <w:rFonts w:ascii="仿宋_GB2312" w:hAnsi="仿宋_GB2312" w:cs="仿宋_GB2312" w:eastAsia="仿宋_GB2312"/>
                <w:sz w:val="21"/>
              </w:rPr>
              <w:t>五、</w:t>
            </w:r>
            <w:r>
              <w:rPr>
                <w:rFonts w:ascii="仿宋_GB2312" w:hAnsi="仿宋_GB2312" w:cs="仿宋_GB2312" w:eastAsia="仿宋_GB2312"/>
                <w:sz w:val="21"/>
              </w:rPr>
              <w:t>配置要求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电子驻车</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主副驾驶座安全气囊</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胎压监测</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前排安全带未系提醒</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摄像头数量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定速巡航</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铝合金轮圈</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.LED</w:t>
            </w:r>
            <w:r>
              <w:rPr>
                <w:rFonts w:ascii="仿宋_GB2312" w:hAnsi="仿宋_GB2312" w:cs="仿宋_GB2312" w:eastAsia="仿宋_GB2312"/>
                <w:sz w:val="21"/>
              </w:rPr>
              <w:t>灯光</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前后电动车窗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后视镜电动调节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仿皮座椅</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自动空调</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 xml:space="preserve">中控彩色屏幕： </w:t>
            </w:r>
            <w:r>
              <w:rPr>
                <w:rFonts w:ascii="仿宋_GB2312" w:hAnsi="仿宋_GB2312" w:cs="仿宋_GB2312" w:eastAsia="仿宋_GB2312"/>
                <w:sz w:val="21"/>
              </w:rPr>
              <w:t>≥</w:t>
            </w:r>
            <w:r>
              <w:rPr>
                <w:rFonts w:ascii="仿宋_GB2312" w:hAnsi="仿宋_GB2312" w:cs="仿宋_GB2312" w:eastAsia="仿宋_GB2312"/>
                <w:sz w:val="21"/>
              </w:rPr>
              <w:t>13.2</w:t>
            </w:r>
            <w:r>
              <w:rPr>
                <w:rFonts w:ascii="仿宋_GB2312" w:hAnsi="仿宋_GB2312" w:cs="仿宋_GB2312" w:eastAsia="仿宋_GB2312"/>
                <w:sz w:val="21"/>
              </w:rPr>
              <w:t>英寸触控液晶屏</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扬声器数量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个</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合同签订后7日历天内完成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车辆完整安全交付，通过检验，达到采购人使用标准后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1、达到国家及行业质量验收标准；2、在向采购人送货时，必须随货提供产品相关证明材料。</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小型客车质保期：整车4年或10万，三电终身；轿车质保期：整车4年或者行驶里程10万公里（自销售者开具购车发票之日起计算，以先到者为准）；2、提供提供充电桩，并上门安装到位（至少一年均可享受该项权益）并做承诺。 其他要求： 1.所有本项目所涉及的产品、材料质量必须符合国家有关规范和相关政策。所有车辆均为新车，所有材料及辅材必须是未使用过的新产品，质量优良、渠道正当，配置合理。并达到采购要求。若所供货物经产品质量检测机构检测认定质量不合格，造成的损失和后果由该供应商负全责。 2.投标人所报价格包含完成项目的一切费用，包括但不限于运输、安装、调试、人工费、售后服务、税费等。 3.由投标人负责其派往本项目所有人员的工资、劳动保障、安全及保险等，非采购人原因造成的人身损害均由供应商自行承担。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单位未按合同要求执行、质量不能满足要求，采购人可根据中标单位的违约情况，调整中标单位的供货范围或取消其服务资格，并终止合同，并对供方违约行为进行追究，同时按《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1、为顺利推进政府采购电子化交易平台应用工作，投标人需要在线提交所有通过电子化交易平台实施的政府采购项目的响应文件，同时，线下提交纸质响应文件正本壹份、副本壹份。 2、纸质响应文件正副本分别胶装（书脊处注明项目名称，项目编号），标明投标人名称密封递交，递交截止时间同在线递交电子响应文件截止时间一致，递交地址：铜川市耀州区咸丰路街道丹阳国际15层。（纸质响应文件可邮寄，邮件签收时间应为在线递交电子响应文件截止时间之前，邮寄地址：铜川市耀州区咸丰路街道丹阳国际15层）。3、若电子投标文件与纸质投标文件不一致的，以电子投标文件为准。4、本项目《中小企业声明函》须逐项完整响应；若存在缺项响应，或声明函所列任一设备非由中小企业制造，则投标人在本项目中无权享受中小企业扶持政策。5、本项目《关于符合本国产品标准的声明函》须逐项完整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近三年（2023年、2024年、2025年）任意一年度的经会计师事务所或审计机构审计的财务审计报告(包括审计报告、资产负债表、利润表、现金流量表、所有者权益变动表、附注等全部内容，成立时间至提交响应文件截止时间不足一年的可提供成立后任意时段的资产负债表)和财务情况说明书，或2025年8月至今基本存款账户开户银行出具的资信证明，或信用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营业执照等证明材料</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以上四种形式的资料提供任何一种即可），自然人提供身份证；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提供中国裁判文书网（https://wenshu.court.gov.cn/）无行贿犯罪行为记录的查询截图，并附良好商业信誉声明函（格式自拟，需法定代表人签字并加盖单位公章）；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具有良好的财务制度</w:t>
            </w:r>
          </w:p>
        </w:tc>
        <w:tc>
          <w:tcPr>
            <w:tcW w:type="dxa" w:w="3322"/>
          </w:tcPr>
          <w:p>
            <w:pPr>
              <w:pStyle w:val="null3"/>
            </w:pPr>
            <w:r>
              <w:rPr>
                <w:rFonts w:ascii="仿宋_GB2312" w:hAnsi="仿宋_GB2312" w:cs="仿宋_GB2312" w:eastAsia="仿宋_GB2312"/>
              </w:rPr>
              <w:t>提供近三年（2023年、2024年、2025年）任意一年度的经会计师事务所或审计机构审计的财务审计报告(包括审计报告、资产负债表、利润表、现金流量表、所有者权益变动表、附注等全部内容，成立时间至提交响应文件截止时间不足一年的可提供成立后任意时段的资产负债表)和财务情况说明书，或2025年8月至今基本存款账户开户银行出具的资信证明，或信用担保机构出具的投标担保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依法缴纳税收的证明材料</w:t>
            </w:r>
          </w:p>
        </w:tc>
        <w:tc>
          <w:tcPr>
            <w:tcW w:type="dxa" w:w="3322"/>
          </w:tcPr>
          <w:p>
            <w:pPr>
              <w:pStyle w:val="null3"/>
            </w:pPr>
            <w:r>
              <w:rPr>
                <w:rFonts w:ascii="仿宋_GB2312" w:hAnsi="仿宋_GB2312" w:cs="仿宋_GB2312" w:eastAsia="仿宋_GB2312"/>
              </w:rPr>
              <w:t>提供2025年8月1日至今已缴纳的至少一个月的纳税证明或完税证明（提供增值税、营业税、企业所得税中的至少一种），纳税证明或完税证明上应有代收机构或税务机关的公章或业务专用章。依法免税的单位应提供相关证明材料；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依法缴纳社会保障资金的证明材料</w:t>
            </w:r>
          </w:p>
        </w:tc>
        <w:tc>
          <w:tcPr>
            <w:tcW w:type="dxa" w:w="3322"/>
          </w:tcPr>
          <w:p>
            <w:pPr>
              <w:pStyle w:val="null3"/>
            </w:pPr>
            <w:r>
              <w:rPr>
                <w:rFonts w:ascii="仿宋_GB2312" w:hAnsi="仿宋_GB2312" w:cs="仿宋_GB2312" w:eastAsia="仿宋_GB2312"/>
              </w:rPr>
              <w:t>提供2025年8月1日至今已缴存的至少一个月的社会保障资金缴存单据或社保机构开具的社会保险参保缴费情况证明；投标人需在项目电子化交易系统中按要求上传相应证明文件并进行电子签章。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法定代表人或法定代表授权人</w:t>
            </w:r>
          </w:p>
        </w:tc>
        <w:tc>
          <w:tcPr>
            <w:tcW w:type="dxa" w:w="3322"/>
          </w:tcPr>
          <w:p>
            <w:pPr>
              <w:pStyle w:val="null3"/>
            </w:pPr>
            <w:r>
              <w:rPr>
                <w:rFonts w:ascii="仿宋_GB2312" w:hAnsi="仿宋_GB2312" w:cs="仿宋_GB2312" w:eastAsia="仿宋_GB2312"/>
              </w:rPr>
              <w:t>法定代表人（负责人）直接参加投标的，须出具法定代表人（负责人）身份证明及身份证复印件，并与营业执照上信息一致；法定代表人（负责人）授权代表参加投标的，须出具法定代表人（负责人）授权书及授权代表身份证复印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参加本次政府采购活动前3年内在经营活动中没有重大违法记录或被起诉</w:t>
            </w:r>
          </w:p>
        </w:tc>
        <w:tc>
          <w:tcPr>
            <w:tcW w:type="dxa" w:w="3322"/>
          </w:tcPr>
          <w:p>
            <w:pPr>
              <w:pStyle w:val="null3"/>
            </w:pPr>
            <w:r>
              <w:rPr>
                <w:rFonts w:ascii="仿宋_GB2312" w:hAnsi="仿宋_GB2312" w:cs="仿宋_GB2312" w:eastAsia="仿宋_GB2312"/>
              </w:rPr>
              <w:t>提供参加本次政府采购活动前3年内在经营活动中没有重大违法记录或被起诉的声明；投标人需在项目电子化交易系统中按要求上传相应证明文件并进行电子签章。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无关联声明</w:t>
            </w:r>
          </w:p>
        </w:tc>
        <w:tc>
          <w:tcPr>
            <w:tcW w:type="dxa" w:w="3322"/>
          </w:tcPr>
          <w:p>
            <w:pPr>
              <w:pStyle w:val="null3"/>
            </w:pPr>
            <w:r>
              <w:rPr>
                <w:rFonts w:ascii="仿宋_GB2312" w:hAnsi="仿宋_GB2312" w:cs="仿宋_GB2312" w:eastAsia="仿宋_GB2312"/>
              </w:rPr>
              <w:t>提供单位负责人为同一人或者存在直接控股、管理关系的不同投标人，不得参加同一合同项下的政府采购活动的书面声明；投标人需在项目电子化交易系统中按要求上传相应证明文件并进行电子签章。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提供非联合体投标的承诺书；投标人需在项目电子化交易系统中按要求上传相应证明文件并进行电子签章。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业绩.docx 关于符合本国产品标准的声明函.docx 中小企业声明函 商务应答表 投标人应提交的相关资格证明材料 法定代表人授权书.docx 产品技术参数表 投标函 残疾人福利性单位声明函 拒绝政府采购领域商业贿赂承诺书.docx 标的清单 法定代表人证明书.docx 投标文件封面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投标人按照招标文件要求上传响应文件。</w:t>
            </w:r>
          </w:p>
        </w:tc>
        <w:tc>
          <w:tcPr>
            <w:tcW w:type="dxa" w:w="1661"/>
          </w:tcPr>
          <w:p>
            <w:pPr>
              <w:pStyle w:val="null3"/>
            </w:pPr>
            <w:r>
              <w:rPr>
                <w:rFonts w:ascii="仿宋_GB2312" w:hAnsi="仿宋_GB2312" w:cs="仿宋_GB2312" w:eastAsia="仿宋_GB2312"/>
              </w:rPr>
              <w:t>业绩.docx 开标一览表 关于符合本国产品标准的声明函.docx 中小企业声明函 商务应答表 投标人应提交的相关资格证明材料 法定代表人授权书.docx 产品技术参数表 投标函 残疾人福利性单位声明函 拒绝政府采购领域商业贿赂承诺书.docx 标的清单 法定代表人证明书.docx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投标人必须按照招标文件的规定和要求在投标文件中指定的页面落款处加盖公章或由法定代表人或被授权人签名（或盖章），其余页面逐页盖公章，否则将作为无效投标文件处理。招标文件凡是要求法定代表人签名或盖章之处 ，非法人单位的负责人均参照执行。</w:t>
            </w:r>
          </w:p>
        </w:tc>
        <w:tc>
          <w:tcPr>
            <w:tcW w:type="dxa" w:w="1661"/>
          </w:tcPr>
          <w:p>
            <w:pPr>
              <w:pStyle w:val="null3"/>
            </w:pPr>
            <w:r>
              <w:rPr>
                <w:rFonts w:ascii="仿宋_GB2312" w:hAnsi="仿宋_GB2312" w:cs="仿宋_GB2312" w:eastAsia="仿宋_GB2312"/>
              </w:rPr>
              <w:t>业绩.docx 开标一览表 关于符合本国产品标准的声明函.docx 中小企业声明函 商务应答表 投标人应提交的相关资格证明材料 法定代表人授权书.docx 产品技术参数表 投标函 残疾人福利性单位声明函 拒绝政府采购领域商业贿赂承诺书.docx 标的清单 法定代表人证明书.docx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投标文件所有报价未超过最高限价。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不得超过招标文件要求的交货期。</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A、投标人的响应报价有选择性报价或者响应报价重新计算后超过本项目采购预算或者最高限价的； B、投标人未经过正常渠道领取招标文件，或投标人名称与领取招标文件时登记的投标人名称不符的； C、投标人针对同一项目递交两份或多份内容不同的响应文件，未书面声明哪一份是有效的或出现选择性报价的； D、提供虚假资质、虚假资料、虚假证明（包括第三方提供的虚假证明）；出现虚假应答、承诺、声明的，除按无效响应文件处理外，还将按照政府采购的有关规定进行处罚； E、投标人在商务响应方面附加了采购单位难以接受的条件或条款的； F、在政府采购或其它重大项目履约过程中有不良记录或未能按期履约的； G、投标人使用虚假印章或印章无法证实为真实有效； H、报价子目出现漏项或报价与要求不符的； I、实质性内容不满足、未完全未响应招标要求或擅自改动技术要求的； G、响应文件的关键内容或字迹模糊、无法辨认的； K、不符合法律、法规规定的其它实质性要求的。</w:t>
            </w:r>
          </w:p>
        </w:tc>
        <w:tc>
          <w:tcPr>
            <w:tcW w:type="dxa" w:w="1661"/>
          </w:tcPr>
          <w:p>
            <w:pPr>
              <w:pStyle w:val="null3"/>
            </w:pPr>
            <w:r>
              <w:rPr>
                <w:rFonts w:ascii="仿宋_GB2312" w:hAnsi="仿宋_GB2312" w:cs="仿宋_GB2312" w:eastAsia="仿宋_GB2312"/>
              </w:rPr>
              <w:t>开标一览表 业绩.docx 关于符合本国产品标准的声明函.docx 中小企业声明函 商务应答表 投标人应提交的相关资格证明材料 法定代表人授权书.docx 产品技术参数表 投标函 残疾人福利性单位声明函 拒绝政府采购领域商业贿赂承诺书.docx 标的清单 法定代表人证明书.docx 投标文件封面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《中小企业声明函》响应情况</w:t>
            </w:r>
          </w:p>
        </w:tc>
        <w:tc>
          <w:tcPr>
            <w:tcW w:type="dxa" w:w="3322"/>
          </w:tcPr>
          <w:p>
            <w:pPr>
              <w:pStyle w:val="null3"/>
            </w:pPr>
            <w:r>
              <w:rPr>
                <w:rFonts w:ascii="仿宋_GB2312" w:hAnsi="仿宋_GB2312" w:cs="仿宋_GB2312" w:eastAsia="仿宋_GB2312"/>
              </w:rPr>
              <w:t>投标人如符合中小企业规模划分标准，须逐项完整响应《中小企业声明函》；若存在缺项，或声明函中所列任一设备并非中小企业制造，均无权享受本项目中小企业扶持政策。</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《关于符合本国产品标准的声明函》</w:t>
            </w:r>
          </w:p>
        </w:tc>
        <w:tc>
          <w:tcPr>
            <w:tcW w:type="dxa" w:w="3322"/>
          </w:tcPr>
          <w:p>
            <w:pPr>
              <w:pStyle w:val="null3"/>
            </w:pPr>
            <w:r>
              <w:rPr>
                <w:rFonts w:ascii="仿宋_GB2312" w:hAnsi="仿宋_GB2312" w:cs="仿宋_GB2312" w:eastAsia="仿宋_GB2312"/>
              </w:rPr>
              <w:t>投标人如所投产品符合本国产品标准，需完整响应《关于符合本国产品标准的声明函》。支持政策：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供应商提供的全部产品成本之和的比例达到80%以上时，依法对该投标人提供的全部产品给予价格评审优惠，即对该投标人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产品证明材料</w:t>
            </w:r>
          </w:p>
        </w:tc>
        <w:tc>
          <w:tcPr>
            <w:tcW w:type="dxa" w:w="2492"/>
          </w:tcPr>
          <w:p>
            <w:pPr>
              <w:pStyle w:val="null3"/>
            </w:pPr>
            <w:r>
              <w:rPr>
                <w:rFonts w:ascii="仿宋_GB2312" w:hAnsi="仿宋_GB2312" w:cs="仿宋_GB2312" w:eastAsia="仿宋_GB2312"/>
              </w:rPr>
              <w:t>评审内容（最高得3分，负偏离一处扣0.5分） 拟提交货物完全符合、满足招标文件技术要求或者优于招标文件的要求，需附佐证材料：官网截图、产品彩页、车辆外观照片、所投车辆及生产厂家在工信部发布的《道路机动车辆生产企业及产品公告》内的截图；未提供或所提供材料模糊不清或所提供材料无法有效证明，与所投标产品无密切相关的将视为不满足本参数要求，按负偏离进行扣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车辆材质及工艺</w:t>
            </w:r>
          </w:p>
        </w:tc>
        <w:tc>
          <w:tcPr>
            <w:tcW w:type="dxa" w:w="2492"/>
          </w:tcPr>
          <w:p>
            <w:pPr>
              <w:pStyle w:val="null3"/>
            </w:pPr>
            <w:r>
              <w:rPr>
                <w:rFonts w:ascii="仿宋_GB2312" w:hAnsi="仿宋_GB2312" w:cs="仿宋_GB2312" w:eastAsia="仿宋_GB2312"/>
              </w:rPr>
              <w:t>一、评审内容（每项计3分，最高得9分，未提供不计分） 1、关键部件工艺及材质：明确关键部件（如发动机缸体、变速箱壳体、底盘车架等）选用的加工工艺先进合理，贴合项目需求，清晰说明工艺优势及流程规范；明确选用的材料优质且适配车辆使用场景，详细阐述材质性能及选型依据； 2、设备整体质量：清晰阐述车辆整体装配工艺思路，明确装配标准及质量控制要点，对部件衔接、外观质量等要求明确合理； 3、配件耐久性：明确核心配件（如轴承、密封件、传动部件等）的选型依据，详细说明配件耐久性保障措施，体现配件选型的合理性及耐久性优势。 二、扣分规则（累计扣分不超过对应评审内容分值，三项内容总扣分无上限，扣完对应分项分值即止） 专门针对本项目编制，切合本项目实际情况及实施要求，内容与要点相符、每个要点均有展开详细的阐述且能够适用于本项目的计6分；以上评审内容每项有缺项扣2分；存在缺陷，每个缺陷扣0.4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一、评审内容（每项计4分，最高得16分，未提供不计分） 1、备货、供货进度及保证措施：明确各阶段时间节点、备货数量、供货批次，完全匹配本项目需求，无延误风险；保证措施完善，涵盖原材料储备、生产调度、物流运输、应急补供等内容； 2、拟投入本项目的人员安排：明确项目负责人、技术人员、操作人员、后勤保障人员等岗位职责、数量及配置标准，人员资质符合项目要求，分工清晰、衔接顺畅，提供人员名单； 3、车辆检测、调试措施：明确检测调试流程、项目、标准及时间节点，配备专业检测调试设备及人员，涵盖车辆性能、安全、外观等全方面检测； 4、车辆运行安全保障措施：涵盖车辆日常维护、故障排查、应急处置、安全培训等内容。 二、扣分规则（累计扣分不超过对应评审内容分值，四项内容总扣分无上限，扣完对应分项分值即止） 专门针对本项目编制，切合本项目实际情况及实施要求，内容与要点相符、每个要点均有展开详细的阐述且能够适用于本项目的计16分；以上评审内容每项有缺项扣4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一、评审内容（每项计2分，最高得6分，未提供不计分） 1、具有售后服务机构及人员配置方案； 2、提供保修期外至全寿命周期内零配件及备品备件供应方案（包括：供应时间、安装更换方式）； 3、所投产品售后服务承诺。 二、扣分规则（累计扣分不超过对应评审内容分值，三项内容总扣分无上限，扣完对应分项分值即止） 专门针对本项目编制，切合本项目实际情况及实施要求，内容与要点相符、每个要点均有展开详细的阐述且能够适用于本项目的计6分；以上评审内容每项有缺项扣2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一、评审内容（每项计2分，最高得6分，未提供不计分） 1、培训时间计划及培训人员安排； 2、培训内容设计安排； 3、重点难点及培训结果保障措施。 二、扣分规则（累计扣分不超过对应评审内容分值，三项内容总扣分无上限，扣完对应分项分值即止） 专门针对本项目编制，切合本项目实际情况及实施要求，内容与要点相符、每个要点均有展开详细的阐述且能够适用于本项目的计6分；以上评审内容每项有缺项扣2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一、评审内容（前两项每项计2分，第三项计3分，最高得7分，未提供不计分） 针对本项目突发事件的应急响应处理方案： 1、设备故障应急预案； 2、人员受伤应急预案； 3、运输途中突发交通事故； 二、扣分规则（累计扣分不超过对应评审内容分值，三项内容总扣分无上限，扣完对应分项分值即止） 专门针对本项目编制，切合本项目实际情况及实施要求，内容与要点相符、每个要点均有展开详细的阐述且能够适用于本项目的计7分；以上评审内容第1、2项有缺项扣2分，第3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应急响应</w:t>
            </w:r>
          </w:p>
        </w:tc>
        <w:tc>
          <w:tcPr>
            <w:tcW w:type="dxa" w:w="2492"/>
          </w:tcPr>
          <w:p>
            <w:pPr>
              <w:pStyle w:val="null3"/>
            </w:pPr>
            <w:r>
              <w:rPr>
                <w:rFonts w:ascii="仿宋_GB2312" w:hAnsi="仿宋_GB2312" w:cs="仿宋_GB2312" w:eastAsia="仿宋_GB2312"/>
              </w:rPr>
              <w:t>评审内容（每项计1.5分，最高得3分，未提供不计分） 1、故障响应：接到甲方故障通知后，1小时内作出响应并可赶至现场得1.5分，2小时内响应得1分，超过2小时响应不计分； 2、佐证材料：提供售后服务网点/驻点地址、专属售后人员名单、项目核心构配件配备存储情况佐证材料，得1.5分，未提供/提供不完整不计分。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退换货方案</w:t>
            </w:r>
          </w:p>
        </w:tc>
        <w:tc>
          <w:tcPr>
            <w:tcW w:type="dxa" w:w="2492"/>
          </w:tcPr>
          <w:p>
            <w:pPr>
              <w:pStyle w:val="null3"/>
            </w:pPr>
            <w:r>
              <w:rPr>
                <w:rFonts w:ascii="仿宋_GB2312" w:hAnsi="仿宋_GB2312" w:cs="仿宋_GB2312" w:eastAsia="仿宋_GB2312"/>
              </w:rPr>
              <w:t>一、评审内容（每项计3分，最高得6分，未提供不计分） 1、产品质量问题退货方案：明确退货判定标准、退货申请流程、退货时限、退货验收、退款流程及相关责任划分，流程规范、权责清晰； 2、产品质量问题换货方案：明确换货判定标准、换货申请流程、换货时限、换货产品质量要求、物流保障及相关责任划分，能保障换货及时、产品合格。 二、扣分规则（累计扣分不超过对应评审内容分值，两项内容总扣分无上限，扣完对应分项分值即止） 专门针对本项目编制，切合本项目实际情况及实施要求，内容与要点相符、每个要点均有展开详细的阐述且能够适用于本项目的计6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履约承诺</w:t>
            </w:r>
          </w:p>
        </w:tc>
        <w:tc>
          <w:tcPr>
            <w:tcW w:type="dxa" w:w="2492"/>
          </w:tcPr>
          <w:p>
            <w:pPr>
              <w:pStyle w:val="null3"/>
            </w:pPr>
            <w:r>
              <w:rPr>
                <w:rFonts w:ascii="仿宋_GB2312" w:hAnsi="仿宋_GB2312" w:cs="仿宋_GB2312" w:eastAsia="仿宋_GB2312"/>
              </w:rPr>
              <w:t>评审内容：（每提供一份计1.5分，最高得6分；未提供或未文字说明核心响应点，不计分） 1.提供供货能力承诺（明确承诺交付时限）； 2.提供交付周期承诺（明确承诺按时交付，若因投标人原因延迟的解决办法）； 3.提供瑕疵处理承诺（明确货物存在质量问题，承诺在收到反馈后响应时限）； 4.提供合同履行承诺（明确承诺严格遵守合同所有条款）。</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评审内容：（每提供一份计2分，最高得8分，未提供不计分） 项目业绩： 提供2022年1月1日以来投标人或制造商已完成同类项目业绩。请提供合同复印件（同时提供合同首页、内容页、盖章页复印件并加盖供应商公章），未按要求完整提供证明文件不得分。 注：①同一个项目提供多份合同的，按一份业绩； ②若提供制造商业绩附制造商授权书，明确授权其业绩参与投标。</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100 计算分数时四舍五入取小数点后两位。特别说明：投标人报价明显低于其他实质性响应投标人报价，有可能影响产品质量或不能诚信履约的，须提交相关成本证明材料，无法提供的按无效投标处理。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详见附件：政府采购货物买卖合同试行.docx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