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版本号：241128003</w:t>
      </w:r>
      <w:r>
        <w:br/>
      </w:r>
      <w:r>
        <w:br/>
      </w:r>
      <w:r>
        <w:br/>
      </w:r>
      <w:r>
        <w:br/>
      </w:r>
      <w:r>
        <w:br/>
      </w:r>
    </w:p>
    <w:p>
      <w:pPr>
        <w:pStyle w:val="null3"/>
        <w:jc w:val="center"/>
        <w:outlineLvl w:val="0"/>
      </w:pPr>
      <w:r>
        <w:rPr>
          <w:sz w:val="48"/>
          <w:b/>
        </w:rPr>
        <w:t>招 标 文 件</w:t>
      </w:r>
      <w:r>
        <w:br/>
      </w:r>
      <w:r>
        <w:br/>
      </w:r>
      <w:r>
        <w:br/>
      </w:r>
    </w:p>
    <w:p>
      <w:pPr>
        <w:pStyle w:val="null3"/>
        <w:jc w:val="center"/>
        <w:outlineLvl w:val="1"/>
      </w:pPr>
      <w:r>
        <w:rPr>
          <w:sz w:val="36"/>
          <w:b/>
        </w:rPr>
        <w:t>（货物类）</w:t>
      </w:r>
      <w:r>
        <w:br/>
      </w:r>
      <w:r>
        <w:br/>
      </w:r>
      <w:r>
        <w:br/>
      </w:r>
      <w:r>
        <w:br/>
      </w:r>
      <w:r>
        <w:br/>
      </w:r>
      <w:r>
        <w:br/>
      </w:r>
      <w:r>
        <w:br/>
      </w:r>
      <w:r>
        <w:br/>
      </w:r>
      <w:r>
        <w:br/>
      </w:r>
      <w:r>
        <w:br/>
      </w:r>
      <w:r>
        <w:br/>
      </w:r>
    </w:p>
    <w:p>
      <w:pPr>
        <w:pStyle w:val="null3"/>
        <w:jc w:val="center"/>
        <w:outlineLvl w:val="2"/>
      </w:pPr>
      <w:r>
        <w:rPr>
          <w:sz w:val="28"/>
          <w:b/>
        </w:rPr>
        <w:t>采购项目名称：</w:t>
      </w:r>
      <w:r>
        <w:rPr>
          <w:sz w:val="28"/>
          <w:b/>
        </w:rPr>
        <w:t>城关幼儿园创建提升项目</w:t>
      </w:r>
    </w:p>
    <w:p>
      <w:pPr>
        <w:pStyle w:val="null3"/>
        <w:jc w:val="center"/>
        <w:outlineLvl w:val="2"/>
      </w:pPr>
      <w:r>
        <w:rPr>
          <w:sz w:val="28"/>
          <w:b/>
        </w:rPr>
        <w:t>采购项目编号：</w:t>
      </w:r>
      <w:r>
        <w:rPr>
          <w:sz w:val="28"/>
          <w:b/>
        </w:rPr>
        <w:t>[预]字2024452号</w:t>
      </w:r>
      <w:r>
        <w:br/>
      </w:r>
      <w:r>
        <w:br/>
      </w:r>
      <w:r>
        <w:br/>
      </w:r>
    </w:p>
    <w:p>
      <w:pPr>
        <w:pStyle w:val="null3"/>
        <w:jc w:val="center"/>
        <w:outlineLvl w:val="2"/>
      </w:pPr>
      <w:r>
        <w:rPr>
          <w:sz w:val="28"/>
          <w:b/>
        </w:rPr>
        <w:t>铜川市城关幼儿园</w:t>
      </w:r>
    </w:p>
    <w:p>
      <w:pPr>
        <w:pStyle w:val="null3"/>
        <w:jc w:val="center"/>
        <w:outlineLvl w:val="2"/>
      </w:pPr>
      <w:r>
        <w:rPr>
          <w:sz w:val="28"/>
          <w:b/>
        </w:rPr>
        <w:t>融科匠业工程咨询有限公司</w:t>
      </w:r>
      <w:r>
        <w:rPr>
          <w:sz w:val="28"/>
          <w:b/>
        </w:rPr>
        <w:t>共同编制</w:t>
      </w:r>
    </w:p>
    <w:p>
      <w:pPr>
        <w:pStyle w:val="null3"/>
        <w:jc w:val="center"/>
        <w:outlineLvl w:val="2"/>
      </w:pPr>
      <w:r>
        <w:rPr>
          <w:sz w:val="28"/>
          <w:b/>
        </w:rPr>
        <w:t>2024年11月28日</w:t>
      </w:r>
    </w:p>
    <w:p>
      <w:pPr>
        <w:pStyle w:val="null3"/>
      </w:pPr>
      <w:r>
        <w:rPr/>
        <w:t xml:space="preserve"> </w:t>
        <w:br/>
        <w:br w:type="page"/>
      </w:r>
    </w:p>
    <w:p>
      <w:pPr>
        <w:pStyle w:val="null3"/>
        <w:jc w:val="center"/>
        <w:outlineLvl w:val="1"/>
      </w:pPr>
      <w:r>
        <w:rPr>
          <w:sz w:val="36"/>
          <w:b/>
        </w:rPr>
        <w:t>第一章 投标邀请</w:t>
      </w:r>
    </w:p>
    <w:p>
      <w:pPr>
        <w:pStyle w:val="null3"/>
        <w:ind w:firstLine="480"/>
      </w:pPr>
      <w:r>
        <w:rPr/>
        <w:t>融科匠业工程咨询有限公司</w:t>
      </w:r>
      <w:r>
        <w:rPr/>
        <w:t>（以下简称“代理机构”）受</w:t>
      </w:r>
      <w:r>
        <w:rPr/>
        <w:t>铜川市城关幼儿园</w:t>
      </w:r>
      <w:r>
        <w:rPr/>
        <w:t>委托，拟对</w:t>
      </w:r>
      <w:r>
        <w:rPr/>
        <w:t>城关幼儿园创建提升项目</w:t>
      </w:r>
      <w:r>
        <w:rPr/>
        <w:t>进行国内公开招标，兹邀请符合本次招标要求的供应商参加投标。</w:t>
      </w:r>
    </w:p>
    <w:p>
      <w:pPr>
        <w:pStyle w:val="null3"/>
        <w:outlineLvl w:val="2"/>
      </w:pPr>
      <w:r>
        <w:rPr>
          <w:sz w:val="28"/>
          <w:b/>
        </w:rPr>
        <w:t>一、采购项目编号：</w:t>
      </w:r>
      <w:r>
        <w:rPr>
          <w:sz w:val="28"/>
          <w:b/>
        </w:rPr>
        <w:t>[预]字2024452号</w:t>
      </w:r>
    </w:p>
    <w:p>
      <w:pPr>
        <w:pStyle w:val="null3"/>
        <w:outlineLvl w:val="2"/>
      </w:pPr>
      <w:r>
        <w:rPr>
          <w:sz w:val="28"/>
          <w:b/>
        </w:rPr>
        <w:t>二、采购项目名称：</w:t>
      </w:r>
      <w:r>
        <w:rPr>
          <w:sz w:val="28"/>
          <w:b/>
        </w:rPr>
        <w:t>城关幼儿园创建提升项目</w:t>
      </w:r>
    </w:p>
    <w:p>
      <w:pPr>
        <w:pStyle w:val="null3"/>
        <w:outlineLvl w:val="2"/>
      </w:pPr>
      <w:r>
        <w:rPr>
          <w:sz w:val="28"/>
          <w:b/>
        </w:rPr>
        <w:t>三、招标项目简介</w:t>
      </w:r>
    </w:p>
    <w:p>
      <w:pPr>
        <w:pStyle w:val="null3"/>
        <w:ind w:firstLine="480"/>
      </w:pPr>
      <w:r>
        <w:rPr/>
        <w:t>采购教学一体机+移动支架9套、台式电脑22台、笔记本电脑32台、直饮机9台、摄像机枪机20台、摄像机半球20台、球机4台、球机支架3个、枪机专用支架20个、POE8口交换机6台、超五类监控专用网线2800米、2*0.75专用电源线2200米、录像机1台、监控监视器1台、线管线材1批、监控级、6TB专用存储硬盘5块、安装调试1次、LED拼接屏（含辅材安装）4台、监控专用监视器移动支架2台、手机支架20个、额温枪20个</w:t>
      </w:r>
    </w:p>
    <w:p>
      <w:pPr>
        <w:pStyle w:val="null3"/>
        <w:outlineLvl w:val="2"/>
      </w:pPr>
      <w:r>
        <w:rPr>
          <w:sz w:val="28"/>
          <w:b/>
        </w:rPr>
        <w:t>四、供应商参加本次政府采购活动应具备的条件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1.执行政府采购促进中小企业发展的相关政策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1、营业执照等主体资格证明文件：具有独立承担民事责任能力的法人、其他组织或自然人，并出具合法有效的营业执照或事业单位法人证书等国家规定的相关证明，自然人参与的提供其身份证明。</w:t>
      </w:r>
    </w:p>
    <w:p>
      <w:pPr>
        <w:pStyle w:val="null3"/>
      </w:pPr>
      <w:r>
        <w:rPr/>
        <w:t>2、财务状况报告：提供2022年度或2023年度经审计的财务会计报告(包括审计报告、资产负债表、利润表、现金流量表、所有者权益变动表及其附注，成立时间至提交投标文件截止时间不足一年的可提供成立后任意时段的资产负债表)，或其开标前三个月内基本开户银行出具的资信证明，或信用担保机构出具的投标担保函(以上三种形式的资料提供任何一种即可)。</w:t>
      </w:r>
    </w:p>
    <w:p>
      <w:pPr>
        <w:pStyle w:val="null3"/>
      </w:pPr>
      <w:r>
        <w:rPr/>
        <w:t>3、税收缴纳证明：提交投标文件截止时间前6个月内至少一个月的纳税证明或完税证明，纳税证明或完税证明上应有代收机构或税务机关的公章或业务专用章，依法免税的投标人应提供相应文件证明。</w:t>
      </w:r>
    </w:p>
    <w:p>
      <w:pPr>
        <w:pStyle w:val="null3"/>
      </w:pPr>
      <w:r>
        <w:rPr/>
        <w:t>4、社会保障资金缴纳证明：提交投标文件截止时间前6个月内至少一个月的社会保障资金缴存单据或社保机构开具的社会保险参保缴费情况证明，依法不需要缴纳社会保障资金的单位应提供相关证明材料。</w:t>
      </w:r>
    </w:p>
    <w:p>
      <w:pPr>
        <w:pStyle w:val="null3"/>
      </w:pPr>
      <w:r>
        <w:rPr/>
        <w:t>5、信用查询：投标人不得在“中国执行信息公开网（http://zxgk.court.gov.cn/）”网站被列为失信被执行人；不得在“信用中国”（www.creditchina.gov.cn）网站被列入严重失信主体名单和重大税收违法失信主体；不得在“中国政府采购网”（www.ccgp.gov.cn）网站被列入政府采购严重违法失信行为记录名单。</w:t>
      </w:r>
    </w:p>
    <w:p>
      <w:pPr>
        <w:pStyle w:val="null3"/>
      </w:pPr>
      <w:r>
        <w:rPr/>
        <w:t>6、履约能力：投标人具备履行合同所必需的设备和专业技术能力（提供承诺书）。</w:t>
      </w:r>
    </w:p>
    <w:p>
      <w:pPr>
        <w:pStyle w:val="null3"/>
      </w:pPr>
      <w:r>
        <w:rPr/>
        <w:t>7、无重大违法记录：参加政府采购活动前3年内，在经营活动中没有重大违法记录（提供书面声明函）。</w:t>
      </w:r>
    </w:p>
    <w:p>
      <w:pPr>
        <w:pStyle w:val="null3"/>
      </w:pPr>
      <w:r>
        <w:rPr/>
        <w:t>8、企业关联关系：单位负责人为同一人或者存在控股、管理关系的不同单位不得同时参加。</w:t>
      </w:r>
    </w:p>
    <w:p>
      <w:pPr>
        <w:pStyle w:val="null3"/>
      </w:pPr>
      <w:r>
        <w:rPr/>
        <w:t>9、法定代表人身份证明或法定代表人授权委托书：法定代表人直接参加投标的，须出具法定代表人身份证明及身份证原件；法定代表人授权代表参加投标的，须出具法定代表人授权书及授权代表身份证原件。投标文件中凡是需要法定代表人盖章之处，非法人单位的负责人均参照执行。</w:t>
      </w:r>
    </w:p>
    <w:p>
      <w:pPr>
        <w:pStyle w:val="null3"/>
      </w:pPr>
      <w:r>
        <w:rPr/>
        <w:t>10、联合体情况：本项目不接受联合体投标（提供承诺书）。</w:t>
      </w:r>
    </w:p>
    <w:p>
      <w:pPr>
        <w:pStyle w:val="null3"/>
        <w:outlineLvl w:val="2"/>
      </w:pPr>
      <w:r>
        <w:rPr>
          <w:sz w:val="28"/>
          <w:b/>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六、招标文件获取时间、方式及地址</w:t>
      </w:r>
    </w:p>
    <w:p>
      <w:pPr>
        <w:pStyle w:val="null3"/>
        <w:ind w:firstLine="480"/>
      </w:pPr>
      <w:r>
        <w:rPr/>
        <w:t>（一）招标文件获取时间：详见采购公告</w:t>
      </w:r>
    </w:p>
    <w:p>
      <w:pPr>
        <w:pStyle w:val="null3"/>
        <w:ind w:firstLine="480"/>
      </w:pPr>
      <w:r>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t>注：获取的招标文件主体格式包括pdf、word两种格式版本，其中以pdf格式为准。</w:t>
      </w:r>
    </w:p>
    <w:p>
      <w:pPr>
        <w:pStyle w:val="null3"/>
        <w:outlineLvl w:val="2"/>
      </w:pPr>
      <w:r>
        <w:rPr>
          <w:sz w:val="28"/>
          <w:b/>
        </w:rPr>
        <w:t>七、投标文件提交截止时间及开标时间、地点、方式</w:t>
      </w:r>
    </w:p>
    <w:p>
      <w:pPr>
        <w:pStyle w:val="null3"/>
        <w:ind w:firstLine="480"/>
      </w:pPr>
      <w:r>
        <w:rPr/>
        <w:t>（一）投标文件提交截止时间及开标时间：详见采购公告</w:t>
      </w:r>
    </w:p>
    <w:p>
      <w:pPr>
        <w:pStyle w:val="null3"/>
        <w:ind w:firstLine="480"/>
      </w:pPr>
      <w:r>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t>（三）本项目采取网上开标，即采购人或代理机构通过项目电子化交易系统“开标/开启大厅”组织在线开标。</w:t>
      </w:r>
    </w:p>
    <w:p>
      <w:pPr>
        <w:pStyle w:val="null3"/>
        <w:outlineLvl w:val="2"/>
      </w:pPr>
      <w:r>
        <w:rPr>
          <w:sz w:val="28"/>
          <w:b/>
        </w:rPr>
        <w:t>八、本投标邀请在陕西省政府采购网以公告形式发布</w:t>
      </w:r>
    </w:p>
    <w:p>
      <w:pPr>
        <w:pStyle w:val="null3"/>
        <w:outlineLvl w:val="2"/>
      </w:pPr>
      <w:r>
        <w:rPr>
          <w:sz w:val="28"/>
          <w:b/>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十、联系方式</w:t>
      </w:r>
    </w:p>
    <w:p>
      <w:pPr>
        <w:pStyle w:val="null3"/>
        <w:outlineLvl w:val="2"/>
      </w:pPr>
      <w:r>
        <w:rPr>
          <w:sz w:val="28"/>
          <w:b/>
        </w:rPr>
        <w:t xml:space="preserve">采购人： </w:t>
      </w:r>
      <w:r>
        <w:rPr>
          <w:sz w:val="28"/>
          <w:b/>
        </w:rPr>
        <w:t>铜川市城关幼儿园</w:t>
      </w:r>
    </w:p>
    <w:p>
      <w:pPr>
        <w:pStyle w:val="null3"/>
      </w:pPr>
      <w:r>
        <w:rPr/>
        <w:t xml:space="preserve"> 地址： </w:t>
      </w:r>
      <w:r>
        <w:rPr/>
        <w:t>铜川市印台区城关西街8号</w:t>
      </w:r>
    </w:p>
    <w:p>
      <w:pPr>
        <w:pStyle w:val="null3"/>
      </w:pPr>
      <w:r>
        <w:rPr/>
        <w:t xml:space="preserve"> 邮编： </w:t>
      </w:r>
      <w:r>
        <w:rPr/>
        <w:t>727000</w:t>
      </w:r>
    </w:p>
    <w:p>
      <w:pPr>
        <w:pStyle w:val="null3"/>
      </w:pPr>
      <w:r>
        <w:rPr/>
        <w:t xml:space="preserve"> 联系人： </w:t>
      </w:r>
      <w:r>
        <w:rPr/>
        <w:t>铜川市城关幼儿园经办</w:t>
      </w:r>
    </w:p>
    <w:p>
      <w:pPr>
        <w:pStyle w:val="null3"/>
      </w:pPr>
      <w:r>
        <w:rPr/>
        <w:t xml:space="preserve"> 联系电话： </w:t>
      </w:r>
      <w:r>
        <w:rPr/>
        <w:t>13319195366</w:t>
      </w:r>
    </w:p>
    <w:p>
      <w:pPr>
        <w:pStyle w:val="null3"/>
        <w:outlineLvl w:val="2"/>
      </w:pPr>
      <w:r>
        <w:rPr>
          <w:sz w:val="28"/>
          <w:b/>
        </w:rPr>
        <w:t>代理机构：</w:t>
      </w:r>
      <w:r>
        <w:rPr>
          <w:sz w:val="28"/>
          <w:b/>
        </w:rPr>
        <w:t>融科匠业工程咨询有限公司</w:t>
      </w:r>
    </w:p>
    <w:p>
      <w:pPr>
        <w:pStyle w:val="null3"/>
      </w:pPr>
      <w:r>
        <w:rPr/>
        <w:t xml:space="preserve"> 地址： </w:t>
      </w:r>
      <w:r>
        <w:rPr/>
        <w:t>陕西省西安市经济技术开发区凤城十路智慧国际中心A座 2309 室</w:t>
      </w:r>
    </w:p>
    <w:p>
      <w:pPr>
        <w:pStyle w:val="null3"/>
      </w:pPr>
      <w:r>
        <w:rPr/>
        <w:t xml:space="preserve"> 邮编： </w:t>
      </w:r>
      <w:r>
        <w:rPr/>
        <w:t>710000</w:t>
      </w:r>
    </w:p>
    <w:p>
      <w:pPr>
        <w:pStyle w:val="null3"/>
      </w:pPr>
      <w:r>
        <w:rPr/>
        <w:t xml:space="preserve"> 联系人： </w:t>
      </w:r>
      <w:r>
        <w:rPr/>
        <w:t>孟媛</w:t>
      </w:r>
    </w:p>
    <w:p>
      <w:pPr>
        <w:pStyle w:val="null3"/>
      </w:pPr>
      <w:r>
        <w:rPr/>
        <w:t xml:space="preserve"> 联系电话： </w:t>
      </w:r>
      <w:r>
        <w:rPr/>
        <w:t>17729270589</w:t>
      </w:r>
    </w:p>
    <w:p>
      <w:pPr>
        <w:pStyle w:val="null3"/>
        <w:outlineLvl w:val="2"/>
      </w:pPr>
      <w:r>
        <w:rPr>
          <w:sz w:val="28"/>
          <w:b/>
        </w:rPr>
        <w:t>采购监督机构：</w:t>
      </w:r>
      <w:r>
        <w:rPr>
          <w:sz w:val="28"/>
          <w:b/>
        </w:rPr>
        <w:t>铜川市印台区政府采购管理股</w:t>
      </w:r>
    </w:p>
    <w:p>
      <w:pPr>
        <w:pStyle w:val="null3"/>
        <w:ind w:firstLine="480"/>
      </w:pPr>
      <w:r>
        <w:rPr/>
        <w:t>联系人：</w:t>
      </w:r>
      <w:r>
        <w:rPr/>
        <w:t>孟繁胜</w:t>
      </w:r>
    </w:p>
    <w:p>
      <w:pPr>
        <w:pStyle w:val="null3"/>
        <w:ind w:firstLine="480"/>
      </w:pPr>
      <w:r>
        <w:rPr/>
        <w:t>联系电话：</w:t>
      </w:r>
      <w:r>
        <w:rPr/>
        <w:t>0919-4191018</w:t>
      </w:r>
    </w:p>
    <w:p>
      <w:pPr>
        <w:pStyle w:val="null3"/>
      </w:pPr>
      <w:r>
        <w:rPr/>
        <w:t xml:space="preserve"> </w:t>
        <w:br/>
        <w:br w:type="page"/>
      </w:r>
    </w:p>
    <w:p>
      <w:pPr>
        <w:pStyle w:val="null3"/>
        <w:jc w:val="center"/>
        <w:outlineLvl w:val="1"/>
      </w:pPr>
      <w:r>
        <w:rPr>
          <w:sz w:val="36"/>
          <w:b/>
        </w:rPr>
        <w:t>第二章 投标人须知</w:t>
      </w:r>
    </w:p>
    <w:p>
      <w:pPr>
        <w:pStyle w:val="null3"/>
        <w:outlineLvl w:val="2"/>
      </w:pPr>
      <w:r>
        <w:rPr>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采购包1：616,480.00元</w:t>
            </w:r>
            <w:r>
              <w:rPr/>
              <w:t xml:space="preserve"> 投标人的采购包投标报价高于采购包采购预算的，其投标文件将按无效处理。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投标人的采购包投标报价高于最高限价的，其投标文件将按无效处理。</w:t>
            </w:r>
          </w:p>
        </w:tc>
      </w:tr>
      <w:tr>
        <w:tc>
          <w:tcPr>
            <w:tcW w:type="dxa" w:w="1051"/>
          </w:tcPr>
          <w:p>
            <w:pPr>
              <w:pStyle w:val="null3"/>
            </w:pPr>
            <w:r>
              <w:rPr/>
              <w:t>3</w:t>
            </w:r>
          </w:p>
        </w:tc>
        <w:tc>
          <w:tcPr>
            <w:tcW w:type="dxa" w:w="2252"/>
          </w:tcPr>
          <w:p>
            <w:pPr>
              <w:pStyle w:val="null3"/>
            </w:pPr>
            <w:r>
              <w:rPr/>
              <w:t>评标方法</w:t>
            </w:r>
          </w:p>
        </w:tc>
        <w:tc>
          <w:tcPr>
            <w:tcW w:type="dxa" w:w="5004"/>
          </w:tcPr>
          <w:p>
            <w:pPr>
              <w:pStyle w:val="null3"/>
            </w:pPr>
            <w:r>
              <w:rPr/>
              <w:t>采购包1：综合评分法</w:t>
            </w:r>
            <w:r>
              <w:rPr/>
              <w:t xml:space="preserve"> （详见第五章）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如以联合体投标的，联合体各方均应当具备本招标文件要求的资格条件和能力。</w:t>
            </w:r>
          </w:p>
          <w:p>
            <w:pPr>
              <w:pStyle w:val="null3"/>
            </w:pPr>
            <w:r>
              <w:rPr/>
              <w:t xml:space="preserve"> （1）联合体各方均应具有承担本项目必备的条件，如相应的人力、物力、资金等。</w:t>
            </w:r>
          </w:p>
          <w:p>
            <w:pPr>
              <w:pStyle w:val="null3"/>
            </w:pPr>
            <w:r>
              <w:rPr/>
              <w:t xml:space="preserve"> （2）招标文件对投标人资格条件有特殊要求的，联合体各个成员都应当具备规定的相应资格条件。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w:t>
            </w:r>
            <w:r>
              <w:rPr/>
              <w:t>产品属于节能产品政府采购品目清单中应强制采购的产品范围，供应商应当提供国家确定的认证机构出具的、处于有效期之内的节能产品认证证书，否则作无效投标处理。</w:t>
            </w:r>
          </w:p>
          <w:p>
            <w:pPr>
              <w:pStyle w:val="null3"/>
            </w:pPr>
            <w:r>
              <w:rPr/>
              <w:t xml:space="preserve"> 3.本项目采购的</w:t>
            </w:r>
            <w:r>
              <w:rPr/>
              <w:t>/</w:t>
            </w:r>
            <w:r>
              <w:rPr/>
              <w:t>产品属于节能产品政府采购品目清单中应优先采购的产品范围，本项目采购的</w:t>
            </w:r>
            <w:r>
              <w:rPr/>
              <w:t>/</w:t>
            </w:r>
            <w:r>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t>核心产品清单详见第三章。</w:t>
            </w:r>
          </w:p>
          <w:p>
            <w:pPr>
              <w:pStyle w:val="null3"/>
            </w:pPr>
            <w:r>
              <w:rPr/>
              <w:t>在符合性审查环节提供核心产品品牌不足3个的，视为有效投标人不足3家。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投标有效期（实质性要求）</w:t>
            </w:r>
          </w:p>
        </w:tc>
        <w:tc>
          <w:tcPr>
            <w:tcW w:type="dxa" w:w="5004"/>
          </w:tcPr>
          <w:p>
            <w:pPr>
              <w:pStyle w:val="null3"/>
            </w:pPr>
            <w:r>
              <w:rPr/>
              <w:t>提交投标文件的截止之日起不少于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招标代理机构参照国家计委关于印发《招标代理服务收费管理暂行办法》的通知（计价格〔2002〕1980号）、《国家发展和改革委员会办公厅关于招标代理服务收费有关问题的通知》（发改办价格〔2003〕857号）规定收取代理服务费。</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中标通知书</w:t>
            </w:r>
          </w:p>
        </w:tc>
        <w:tc>
          <w:tcPr>
            <w:tcW w:type="dxa" w:w="5004"/>
          </w:tcPr>
          <w:p>
            <w:pPr>
              <w:pStyle w:val="null3"/>
            </w:pPr>
            <w:r>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 出现下列情形之一的，采购人或者采购代理机构应当中止电子化采购活动，并保留相关证明材料备查：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一、本招标文件仅适用于本次公开招标采购项目。</w:t>
      </w:r>
    </w:p>
    <w:p>
      <w:pPr>
        <w:pStyle w:val="null3"/>
        <w:ind w:firstLine="480"/>
      </w:pPr>
      <w:r>
        <w:rPr/>
        <w:t xml:space="preserve"> 二、本招标文件的最终解释权由</w:t>
      </w:r>
      <w:r>
        <w:rPr/>
        <w:t>铜川市城关幼儿园</w:t>
      </w:r>
      <w:r>
        <w:rPr/>
        <w:t>和</w:t>
      </w:r>
      <w:r>
        <w:rPr/>
        <w:t>融科匠业工程咨询有限公司</w:t>
      </w:r>
      <w:r>
        <w:rPr/>
        <w:t>享有。对招标文件中供应商参加本次政府采购活动应当具备的条件，招标项目技术、服务、商务及其他要求，评标细则及标准由</w:t>
      </w:r>
      <w:r>
        <w:rPr/>
        <w:t>铜川市城关幼儿园</w:t>
      </w:r>
      <w:r>
        <w:rPr/>
        <w:t>负责解释。除上述招标文件内容，其他内容由</w:t>
      </w:r>
      <w:r>
        <w:rPr/>
        <w:t>融科匠业工程咨询有限公司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一、“采购人”是指依法进行政府采购的各级国家机关、事业单位、团体组织。本次招标的采购人是</w:t>
      </w:r>
      <w:r>
        <w:rPr/>
        <w:t>铜川市城关幼儿园</w:t>
      </w:r>
      <w:r>
        <w:rPr/>
        <w:t>。</w:t>
      </w:r>
    </w:p>
    <w:p>
      <w:pPr>
        <w:pStyle w:val="null3"/>
        <w:ind w:firstLine="480"/>
      </w:pPr>
      <w:r>
        <w:rPr/>
        <w:t xml:space="preserve"> 二、“投标人”是指按照采购公告规定获取了招标文件，拟参加投标和向采购人提供货物、工程或服务的法人、其他组织或者自然人。</w:t>
      </w:r>
    </w:p>
    <w:p>
      <w:pPr>
        <w:pStyle w:val="null3"/>
        <w:ind w:firstLine="480"/>
      </w:pPr>
      <w:r>
        <w:rPr/>
        <w:t xml:space="preserve"> 三、“代理机构”是指政府采购集中采购机构和从事政府采购代理业务的社会中介机构。本项目的代理机构是</w:t>
      </w:r>
      <w:r>
        <w:rPr/>
        <w:t>融科匠业工程咨询有限公司</w:t>
      </w:r>
      <w:r>
        <w:rPr/>
        <w:t>。</w:t>
      </w:r>
    </w:p>
    <w:p>
      <w:pPr>
        <w:pStyle w:val="null3"/>
        <w:ind w:firstLine="480"/>
      </w:pPr>
      <w:r>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sz w:val="28"/>
          <w:b/>
        </w:rPr>
        <w:t>2.3招标文件</w:t>
      </w:r>
    </w:p>
    <w:p>
      <w:pPr>
        <w:pStyle w:val="null3"/>
        <w:outlineLvl w:val="3"/>
      </w:pPr>
      <w:r>
        <w:rPr>
          <w:sz w:val="24"/>
          <w:b/>
        </w:rPr>
        <w:t xml:space="preserve"> 2.3.1招标文件的构成</w:t>
      </w:r>
    </w:p>
    <w:p>
      <w:pPr>
        <w:pStyle w:val="null3"/>
        <w:ind w:firstLine="480"/>
      </w:pPr>
      <w:r>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t>（一）投标邀请；</w:t>
      </w:r>
    </w:p>
    <w:p>
      <w:pPr>
        <w:pStyle w:val="null3"/>
        <w:ind w:firstLine="480"/>
      </w:pPr>
      <w:r>
        <w:rPr/>
        <w:t>（二）投标人须知；</w:t>
      </w:r>
    </w:p>
    <w:p>
      <w:pPr>
        <w:pStyle w:val="null3"/>
        <w:ind w:firstLine="480"/>
      </w:pPr>
      <w:r>
        <w:rPr/>
        <w:t>（三）招标项目技术、服务、商务及其他要求；</w:t>
      </w:r>
    </w:p>
    <w:p>
      <w:pPr>
        <w:pStyle w:val="null3"/>
        <w:ind w:firstLine="480"/>
      </w:pPr>
      <w:r>
        <w:rPr/>
        <w:t>（四）资格审查；</w:t>
      </w:r>
    </w:p>
    <w:p>
      <w:pPr>
        <w:pStyle w:val="null3"/>
        <w:ind w:firstLine="480"/>
      </w:pPr>
      <w:r>
        <w:rPr/>
        <w:t>（五）评标办法；</w:t>
      </w:r>
    </w:p>
    <w:p>
      <w:pPr>
        <w:pStyle w:val="null3"/>
        <w:ind w:firstLine="480"/>
      </w:pPr>
      <w:r>
        <w:rPr/>
        <w:t>（六）投标文件格式；</w:t>
      </w:r>
    </w:p>
    <w:p>
      <w:pPr>
        <w:pStyle w:val="null3"/>
        <w:ind w:firstLine="480"/>
      </w:pPr>
      <w:r>
        <w:rPr/>
        <w:t>（七）拟签订采购合同文本。</w:t>
      </w:r>
    </w:p>
    <w:p>
      <w:pPr>
        <w:pStyle w:val="null3"/>
        <w:ind w:firstLine="480"/>
      </w:pPr>
      <w:r>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sz w:val="24"/>
          <w:b/>
        </w:rPr>
        <w:t xml:space="preserve"> 2.3.2招标文件的澄清和修改</w:t>
      </w:r>
    </w:p>
    <w:p>
      <w:pPr>
        <w:pStyle w:val="null3"/>
        <w:ind w:firstLine="480"/>
      </w:pPr>
      <w:r>
        <w:rPr/>
        <w:t>一、在投标文件提交截止时间前，采购人或者代理机构可以对已发出的招标文件进行必要的澄清或者修改。</w:t>
      </w:r>
    </w:p>
    <w:p>
      <w:pPr>
        <w:pStyle w:val="null3"/>
        <w:ind w:firstLine="480"/>
      </w:pPr>
      <w:r>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sz w:val="28"/>
          <w:b/>
        </w:rPr>
        <w:t>2.4投标文件</w:t>
      </w:r>
    </w:p>
    <w:p>
      <w:pPr>
        <w:pStyle w:val="null3"/>
        <w:outlineLvl w:val="3"/>
      </w:pPr>
      <w:r>
        <w:rPr>
          <w:sz w:val="24"/>
          <w:b/>
        </w:rPr>
        <w:t xml:space="preserve"> 2.4.1投标文件的语言</w:t>
      </w:r>
    </w:p>
    <w:p>
      <w:pPr>
        <w:pStyle w:val="null3"/>
        <w:ind w:firstLine="480"/>
      </w:pPr>
      <w:r>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三、如因未翻译而造成对投标人的不利后果，由投标人承担。</w:t>
      </w:r>
    </w:p>
    <w:p>
      <w:pPr>
        <w:pStyle w:val="null3"/>
        <w:outlineLvl w:val="3"/>
      </w:pPr>
      <w:r>
        <w:rPr>
          <w:sz w:val="24"/>
          <w:b/>
        </w:rPr>
        <w:t>2.4.2计量单位</w:t>
      </w:r>
    </w:p>
    <w:p>
      <w:pPr>
        <w:pStyle w:val="null3"/>
        <w:ind w:firstLine="480"/>
      </w:pPr>
      <w:r>
        <w:rPr/>
        <w:t>除招标文件中另有规定外，本项目均采用国家法定的计量单位。</w:t>
      </w:r>
    </w:p>
    <w:p>
      <w:pPr>
        <w:pStyle w:val="null3"/>
        <w:outlineLvl w:val="3"/>
      </w:pPr>
      <w:r>
        <w:rPr>
          <w:sz w:val="24"/>
          <w:b/>
        </w:rPr>
        <w:t>2.4.3投标货币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t>三、如采用投标人所不拥有的知识产权，则在投标报价中必须包括合法使用该知识产权的相关费用。</w:t>
      </w:r>
    </w:p>
    <w:p>
      <w:pPr>
        <w:pStyle w:val="null3"/>
        <w:outlineLvl w:val="3"/>
      </w:pPr>
      <w:r>
        <w:rPr>
          <w:sz w:val="24"/>
          <w:b/>
        </w:rPr>
        <w:t>2.4.5投标文件的组成</w:t>
      </w:r>
    </w:p>
    <w:p>
      <w:pPr>
        <w:pStyle w:val="null3"/>
        <w:ind w:firstLine="480"/>
      </w:pPr>
      <w:r>
        <w:rPr/>
        <w:t>投标人应当按照招标文件的要求编制投标文件。投标文件应当对招标文件提出的要求和条件作出明确响应。</w:t>
      </w:r>
    </w:p>
    <w:p>
      <w:pPr>
        <w:pStyle w:val="null3"/>
        <w:ind w:firstLine="480"/>
      </w:pPr>
      <w:r>
        <w:rPr/>
        <w:t>投标文件具体内容详见第六章。</w:t>
      </w:r>
    </w:p>
    <w:p>
      <w:pPr>
        <w:pStyle w:val="null3"/>
        <w:outlineLvl w:val="3"/>
      </w:pPr>
      <w:r>
        <w:rPr>
          <w:sz w:val="24"/>
          <w:b/>
        </w:rPr>
        <w:t xml:space="preserve"> 2.4.6投标文件格式</w:t>
      </w:r>
    </w:p>
    <w:p>
      <w:pPr>
        <w:pStyle w:val="null3"/>
        <w:ind w:firstLine="480"/>
      </w:pPr>
      <w:r>
        <w:rPr/>
        <w:t>一、投标人应按照招标文件第六章中提供的“投标文件格式”填写相关内容。</w:t>
      </w:r>
    </w:p>
    <w:p>
      <w:pPr>
        <w:pStyle w:val="null3"/>
        <w:ind w:firstLine="480"/>
      </w:pPr>
      <w:r>
        <w:rPr/>
        <w:t>二、对于没有格式要求的投标文件由投标人自行编写。</w:t>
      </w:r>
    </w:p>
    <w:p>
      <w:pPr>
        <w:pStyle w:val="null3"/>
        <w:outlineLvl w:val="3"/>
      </w:pPr>
      <w:r>
        <w:rPr>
          <w:sz w:val="24"/>
          <w:b/>
        </w:rPr>
        <w:t>2.4.7投标报价（实质性要求）</w:t>
      </w:r>
    </w:p>
    <w:p>
      <w:pPr>
        <w:pStyle w:val="null3"/>
        <w:ind w:firstLine="480"/>
      </w:pPr>
      <w:r>
        <w:rPr/>
        <w:t>一、投标人的报价是投标人响应招标项目要 求的全部工作内容的价格体现，包括投标人完成本项目所需的一切费用。</w:t>
      </w:r>
    </w:p>
    <w:p>
      <w:pPr>
        <w:pStyle w:val="null3"/>
        <w:ind w:firstLine="480"/>
      </w:pPr>
      <w:r>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sz w:val="24"/>
          <w:b/>
        </w:rPr>
        <w:t>2.4.8投标有效期（实质性要求）</w:t>
      </w:r>
    </w:p>
    <w:p>
      <w:pPr>
        <w:pStyle w:val="null3"/>
        <w:ind w:firstLine="480"/>
      </w:pPr>
      <w:r>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sz w:val="24"/>
          <w:b/>
        </w:rPr>
        <w:t xml:space="preserve"> 2.4.9投标文件的制作、签章和加密（实质性要求）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t xml:space="preserve"> 三、投标人完成投标文件编制后，应按照招标文件第一章明确的签章要求，使用互认的证书及签章对投标文件进行电子签章和加密。</w:t>
      </w:r>
    </w:p>
    <w:p>
      <w:pPr>
        <w:pStyle w:val="null3"/>
        <w:ind w:firstLine="480"/>
      </w:pPr>
      <w:r>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sz w:val="24"/>
          <w:b/>
        </w:rPr>
        <w:t>2.4.10投标文件的提交</w:t>
      </w:r>
    </w:p>
    <w:p>
      <w:pPr>
        <w:pStyle w:val="null3"/>
        <w:ind w:firstLine="480"/>
      </w:pPr>
      <w:r>
        <w:rPr/>
        <w:t>一、（实质性要求）投标人应当在投标文件提交截止时间前，通过项目电子化交易系统完成投标文件提交。</w:t>
      </w:r>
    </w:p>
    <w:p>
      <w:pPr>
        <w:pStyle w:val="null3"/>
        <w:ind w:firstLine="480"/>
      </w:pPr>
      <w:r>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sz w:val="24"/>
          <w:b/>
        </w:rPr>
        <w:t>2.4.11投标文件的补充、修改、撤回（实质性要求）</w:t>
      </w:r>
    </w:p>
    <w:p>
      <w:pPr>
        <w:pStyle w:val="null3"/>
        <w:ind w:firstLine="480"/>
      </w:pPr>
      <w:r>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t>供应商投标文件撤回后，视为未提交过投标文件。</w:t>
      </w:r>
    </w:p>
    <w:p>
      <w:pPr>
        <w:pStyle w:val="null3"/>
        <w:outlineLvl w:val="2"/>
      </w:pPr>
      <w:r>
        <w:rPr>
          <w:sz w:val="28"/>
          <w:b/>
        </w:rPr>
        <w:t>2.5开标、资格审查、评标和中标</w:t>
      </w:r>
    </w:p>
    <w:p>
      <w:pPr>
        <w:pStyle w:val="null3"/>
        <w:outlineLvl w:val="3"/>
      </w:pPr>
      <w:r>
        <w:rPr>
          <w:sz w:val="24"/>
          <w:b/>
        </w:rPr>
        <w:t>2.5.1开标及开标程序</w:t>
      </w:r>
    </w:p>
    <w:p>
      <w:pPr>
        <w:pStyle w:val="null3"/>
        <w:ind w:firstLine="480"/>
      </w:pPr>
      <w:r>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t>二、开标准备工作</w:t>
      </w:r>
    </w:p>
    <w:p>
      <w:pPr>
        <w:pStyle w:val="null3"/>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三、解密投标文件（实质性要求）</w:t>
      </w:r>
    </w:p>
    <w:p>
      <w:pPr>
        <w:pStyle w:val="null3"/>
        <w:ind w:firstLine="480"/>
      </w:pPr>
      <w:r>
        <w:rPr/>
        <w:t xml:space="preserve"> 投标文件提交截止时间后，成功提交投标文件的投标人符合招标文件规定数量的，代理机构将启动投标文件解密程序，解密时间为</w:t>
      </w:r>
      <w:r>
        <w:rPr/>
        <w:t>30</w:t>
      </w:r>
      <w:r>
        <w:rPr/>
        <w:t>分钟；投标人应在规定的解密时间内，使用互认的证书及签章通过项目电子化采购系统进行投标文件解密。</w:t>
      </w:r>
    </w:p>
    <w:p>
      <w:pPr>
        <w:pStyle w:val="null3"/>
        <w:ind w:firstLine="480"/>
      </w:pPr>
      <w:r>
        <w:rPr/>
        <w:t>四、开标</w:t>
      </w:r>
    </w:p>
    <w:p>
      <w:pPr>
        <w:pStyle w:val="null3"/>
        <w:ind w:firstLine="480"/>
      </w:pPr>
      <w:r>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t>投标人完成投标文件解密后，自主决定是否参加网上在线开标，未参加的，视同认可开标结果。</w:t>
      </w:r>
    </w:p>
    <w:p>
      <w:pPr>
        <w:pStyle w:val="null3"/>
        <w:outlineLvl w:val="3"/>
      </w:pPr>
      <w:r>
        <w:rPr>
          <w:sz w:val="24"/>
          <w:b/>
        </w:rPr>
        <w:t>2.5.2查询及使用信用记录</w:t>
      </w:r>
    </w:p>
    <w:p>
      <w:pPr>
        <w:pStyle w:val="null3"/>
        <w:ind w:firstLine="480"/>
      </w:pPr>
      <w:r>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详见招标文件第四章。</w:t>
      </w:r>
    </w:p>
    <w:p>
      <w:pPr>
        <w:pStyle w:val="null3"/>
        <w:outlineLvl w:val="3"/>
      </w:pPr>
      <w:r>
        <w:rPr>
          <w:sz w:val="24"/>
          <w:b/>
        </w:rPr>
        <w:t>2.5.4评标</w:t>
      </w:r>
    </w:p>
    <w:p>
      <w:pPr>
        <w:pStyle w:val="null3"/>
        <w:ind w:firstLine="480"/>
      </w:pPr>
      <w:r>
        <w:rPr/>
        <w:t>详见招标文件第五章。</w:t>
      </w:r>
    </w:p>
    <w:p>
      <w:pPr>
        <w:pStyle w:val="null3"/>
        <w:outlineLvl w:val="3"/>
      </w:pPr>
      <w:r>
        <w:rPr>
          <w:sz w:val="24"/>
          <w:b/>
        </w:rPr>
        <w:t>2.5.5中标通知书</w:t>
      </w:r>
    </w:p>
    <w:p>
      <w:pPr>
        <w:pStyle w:val="null3"/>
        <w:ind w:firstLine="480"/>
      </w:pPr>
      <w:r>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t>三、中标通知书对采购人和中标供应商均具有法律效力。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一、采购人应在中标通知书发出之日起三十日内与中标人签订采购合同。</w:t>
      </w:r>
    </w:p>
    <w:p>
      <w:pPr>
        <w:pStyle w:val="null3"/>
        <w:ind w:firstLine="480"/>
      </w:pPr>
      <w:r>
        <w:rPr/>
        <w:t>二、采购人和中标人签订的采购合同不得对招标文件确定的事项以及中标人的投标文件作实质性修改。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t>二、分包履行合同的部分应当为采购项目的非主体、非关键性工作，不属于中标人的主要合同义务。</w:t>
      </w:r>
    </w:p>
    <w:p>
      <w:pPr>
        <w:pStyle w:val="null3"/>
        <w:ind w:firstLine="480"/>
      </w:pPr>
      <w:r>
        <w:rPr/>
        <w:t>三、采购合同实行分包履行的，中标人就采购项目和分包项目向采购人负责，分包供应商就分包项目承担责任。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一、严禁中标人将本项目转包。本项目所称转包，是指将本项目转给他人或者将本项目全部肢解以后以分包的名义分别转给他人的行为。</w:t>
      </w:r>
    </w:p>
    <w:p>
      <w:pPr>
        <w:pStyle w:val="null3"/>
        <w:ind w:firstLine="480"/>
      </w:pPr>
      <w:r>
        <w:rPr/>
        <w:t>二、中标人转包的，视同拒绝履行政府采购合同，将依法追究法律责任。</w:t>
      </w:r>
    </w:p>
    <w:p>
      <w:pPr>
        <w:pStyle w:val="null3"/>
        <w:outlineLvl w:val="3"/>
      </w:pPr>
      <w:r>
        <w:rPr>
          <w:sz w:val="24"/>
          <w:b/>
        </w:rPr>
        <w:t>2.6.3采购人增加合同标的的权利</w:t>
      </w:r>
    </w:p>
    <w:p>
      <w:pPr>
        <w:pStyle w:val="null3"/>
        <w:ind w:firstLine="480"/>
      </w:pPr>
      <w:r>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sz w:val="24"/>
          <w:b/>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 xml:space="preserve"> 2.6.5履约验收方案</w:t>
      </w:r>
    </w:p>
    <w:p>
      <w:pPr>
        <w:pStyle w:val="null3"/>
      </w:pPr>
      <w:r>
        <w:rPr/>
        <w:t>采购包1：</w:t>
      </w:r>
    </w:p>
    <w:p>
      <w:pPr>
        <w:pStyle w:val="null3"/>
      </w:pPr>
      <w:r>
        <w:rPr/>
        <w:t>符合国家相关行业标准</w:t>
      </w:r>
    </w:p>
    <w:p>
      <w:pPr>
        <w:pStyle w:val="null3"/>
        <w:outlineLvl w:val="3"/>
      </w:pPr>
      <w:r>
        <w:rPr>
          <w:sz w:val="24"/>
          <w:b/>
        </w:rPr>
        <w:t>2.6.6资金支付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2.7.1评标活动纪律要求</w:t>
      </w:r>
    </w:p>
    <w:p>
      <w:pPr>
        <w:pStyle w:val="null3"/>
        <w:ind w:firstLine="480"/>
      </w:pPr>
      <w:r>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t>对各投标人的商业秘密，评标委员会成员应予以保密，不得泄露给其他投标人。</w:t>
      </w:r>
    </w:p>
    <w:p>
      <w:pPr>
        <w:pStyle w:val="null3"/>
        <w:outlineLvl w:val="3"/>
      </w:pPr>
      <w:r>
        <w:rPr>
          <w:sz w:val="24"/>
          <w:b/>
        </w:rPr>
        <w:t xml:space="preserve"> 2.7.2投标人不得具有的情形（实质性要求）</w:t>
      </w:r>
    </w:p>
    <w:p>
      <w:pPr>
        <w:pStyle w:val="null3"/>
        <w:ind w:firstLine="480"/>
      </w:pPr>
      <w:r>
        <w:rPr/>
        <w:t>一、有下列情形之一的，视为投标人串通投标：</w:t>
      </w:r>
    </w:p>
    <w:p>
      <w:pPr>
        <w:pStyle w:val="null3"/>
        <w:ind w:firstLine="480"/>
      </w:pPr>
      <w:r>
        <w:rPr/>
        <w:t>（一）不同投标人的投标文件由同一单位或者个人编制；</w:t>
      </w:r>
    </w:p>
    <w:p>
      <w:pPr>
        <w:pStyle w:val="null3"/>
        <w:ind w:firstLine="480"/>
      </w:pPr>
      <w:r>
        <w:rPr/>
        <w:t>（二）不同投标人委托同一单位或者个人办理投标事宜；</w:t>
      </w:r>
    </w:p>
    <w:p>
      <w:pPr>
        <w:pStyle w:val="null3"/>
        <w:ind w:firstLine="480"/>
      </w:pPr>
      <w:r>
        <w:rPr/>
        <w:t>（三）不同投标人的投标文件载明的项目管理成员或者联系人员为同一人；</w:t>
      </w:r>
    </w:p>
    <w:p>
      <w:pPr>
        <w:pStyle w:val="null3"/>
        <w:ind w:firstLine="480"/>
      </w:pPr>
      <w:r>
        <w:rPr/>
        <w:t>（四）不同投标人的投标文件异常一致或者投标报价呈规律性差异；</w:t>
      </w:r>
    </w:p>
    <w:p>
      <w:pPr>
        <w:pStyle w:val="null3"/>
        <w:ind w:firstLine="480"/>
      </w:pPr>
      <w:r>
        <w:rPr/>
        <w:t>（五）不同投标人的投标文件相互混装。</w:t>
      </w:r>
    </w:p>
    <w:p>
      <w:pPr>
        <w:pStyle w:val="null3"/>
        <w:ind w:firstLine="480"/>
      </w:pPr>
      <w:r>
        <w:rPr/>
        <w:t>二、提供虚假材料谋取中标；</w:t>
      </w:r>
    </w:p>
    <w:p>
      <w:pPr>
        <w:pStyle w:val="null3"/>
        <w:ind w:firstLine="480"/>
      </w:pPr>
      <w:r>
        <w:rPr/>
        <w:t>三、采取不正当手段诋毁、排挤其他投标人；</w:t>
      </w:r>
    </w:p>
    <w:p>
      <w:pPr>
        <w:pStyle w:val="null3"/>
        <w:ind w:firstLine="480"/>
      </w:pPr>
      <w:r>
        <w:rPr/>
        <w:t>四、与采购人或代理机构、其他投标人恶意串通；</w:t>
      </w:r>
    </w:p>
    <w:p>
      <w:pPr>
        <w:pStyle w:val="null3"/>
        <w:ind w:firstLine="480"/>
      </w:pPr>
      <w:r>
        <w:rPr/>
        <w:t>五、向采购人或代理机构、评标委员会成员行贿或者提供其他不正当利益；</w:t>
      </w:r>
    </w:p>
    <w:p>
      <w:pPr>
        <w:pStyle w:val="null3"/>
        <w:ind w:firstLine="480"/>
      </w:pPr>
      <w:r>
        <w:rPr/>
        <w:t>六、在招标过程中与采购人或代理机构进行协商谈判；</w:t>
      </w:r>
    </w:p>
    <w:p>
      <w:pPr>
        <w:pStyle w:val="null3"/>
        <w:ind w:firstLine="480"/>
      </w:pPr>
      <w:r>
        <w:rPr/>
        <w:t>七、中标后无正当理由拒不与采购人签订政府采购合同；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投标人有上述情形的，按照规定追究法律责任，具备一至十一条情形之一的，其投标文件无效，或取消被确认为中标供应商的资格或认定中标无效。</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根据委托代理协议约定，供应商对招标文件中采购需求的询问、质疑由 </w:t>
      </w:r>
      <w:r>
        <w:rPr/>
        <w:t>融科匠业工程咨询有限公司</w:t>
      </w:r>
      <w:r>
        <w:rPr/>
        <w:t xml:space="preserve"> 负责答复；供应商对除采购需求外的采购文件的询问、质疑由</w:t>
      </w:r>
      <w:r>
        <w:rPr/>
        <w:t>融科匠业工程咨询有限公司</w:t>
      </w:r>
      <w:r>
        <w:rPr/>
        <w:t xml:space="preserve"> 负责答复；供应商对采购过程、采购结果的询问、质疑由 </w:t>
      </w:r>
      <w:r>
        <w:rPr/>
        <w:t>融科匠业工程咨询有限公司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（一）质疑书正本1份；（政府采购供应商质疑函范本详见附件一）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（五）针对质疑事项必要的证明材料（针对招标文件提出的质疑，需提交从项目电子化交易系统获取的招标文件回执单）。</w:t>
      </w:r>
    </w:p>
    <w:p>
      <w:pPr>
        <w:pStyle w:val="null3"/>
      </w:pPr>
      <w:r>
        <w:rPr/>
        <w:t>答复主体：代理机构</w:t>
      </w:r>
    </w:p>
    <w:p>
      <w:pPr>
        <w:pStyle w:val="null3"/>
      </w:pPr>
      <w:r>
        <w:rPr/>
        <w:t>联系人：孟媛</w:t>
      </w:r>
    </w:p>
    <w:p>
      <w:pPr>
        <w:pStyle w:val="null3"/>
      </w:pPr>
      <w:r>
        <w:rPr/>
        <w:t>联系电话：17729270589</w:t>
      </w:r>
    </w:p>
    <w:p>
      <w:pPr>
        <w:pStyle w:val="null3"/>
      </w:pPr>
      <w:r>
        <w:rPr/>
        <w:t>地址：陕西省西安市经济技术开发区凤城十路智慧国际中心A座 2309 室</w:t>
      </w:r>
    </w:p>
    <w:p>
      <w:pPr>
        <w:pStyle w:val="null3"/>
      </w:pPr>
      <w:r>
        <w:rPr/>
        <w:t>邮编：710000</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招标项目技术、服务、商务及其他要求</w:t>
      </w:r>
    </w:p>
    <w:p>
      <w:pPr>
        <w:pStyle w:val="null3"/>
        <w:ind w:firstLine="480"/>
      </w:pPr>
      <w:r>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sz w:val="28"/>
          <w:b/>
        </w:rPr>
        <w:t>3.1采购项目概况</w:t>
      </w:r>
    </w:p>
    <w:p>
      <w:pPr>
        <w:pStyle w:val="null3"/>
        <w:ind w:firstLine="480"/>
      </w:pPr>
      <w:r>
        <w:rPr/>
        <w:t>采购教学一体机+移动支架9套、台式电脑22台、笔记本电脑32台、直饮机9台、摄像机枪机20台、摄像机半球20台、球机4台、球机支架3个、枪机专用支架20个、POE8口交换机6台、超五类监控专用网线2800米、2*0.75专用电源线2200米、录像机1台、监控监视器1台、线管线材1批、监控级、6TB专用存储硬盘5块、安装调试1次、LED拼接屏（含辅材安装）4台、监控专用监视器移动支架2台、手机支架20个、额温枪20个</w:t>
      </w:r>
    </w:p>
    <w:p>
      <w:pPr>
        <w:pStyle w:val="null3"/>
        <w:outlineLvl w:val="2"/>
      </w:pPr>
      <w:r>
        <w:rPr>
          <w:sz w:val="28"/>
          <w:b/>
        </w:rPr>
        <w:t>3.2采购内容</w:t>
      </w:r>
    </w:p>
    <w:p>
      <w:pPr>
        <w:pStyle w:val="null3"/>
      </w:pPr>
      <w:r>
        <w:rPr/>
        <w:t>采购包1：</w:t>
      </w:r>
    </w:p>
    <w:p>
      <w:pPr>
        <w:pStyle w:val="null3"/>
      </w:pPr>
      <w:r>
        <w:rPr/>
        <w:t>采购包预算金额（元）: 616,480.00</w:t>
      </w:r>
    </w:p>
    <w:p>
      <w:pPr>
        <w:pStyle w:val="null3"/>
      </w:pPr>
      <w:r>
        <w:rPr/>
        <w:t>采购包最高限价（元）: 616,480.00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教学一体机+移动支架</w:t>
            </w:r>
          </w:p>
        </w:tc>
        <w:tc>
          <w:tcPr>
            <w:tcW w:type="dxa" w:w="831"/>
          </w:tcPr>
          <w:p>
            <w:pPr>
              <w:pStyle w:val="null3"/>
              <w:jc w:val="right"/>
            </w:pPr>
            <w:r>
              <w:rPr/>
              <w:t>9.00</w:t>
            </w:r>
          </w:p>
        </w:tc>
        <w:tc>
          <w:tcPr>
            <w:tcW w:type="dxa" w:w="831"/>
          </w:tcPr>
          <w:p>
            <w:pPr>
              <w:pStyle w:val="null3"/>
              <w:jc w:val="right"/>
            </w:pPr>
            <w:r>
              <w:rPr/>
              <w:t>144,000.00</w:t>
            </w:r>
          </w:p>
        </w:tc>
        <w:tc>
          <w:tcPr>
            <w:tcW w:type="dxa" w:w="831"/>
          </w:tcPr>
          <w:p>
            <w:pPr>
              <w:pStyle w:val="null3"/>
            </w:pPr>
            <w:r>
              <w:rPr/>
              <w:t>套</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2</w:t>
            </w:r>
          </w:p>
        </w:tc>
        <w:tc>
          <w:tcPr>
            <w:tcW w:type="dxa" w:w="831"/>
          </w:tcPr>
          <w:p>
            <w:pPr>
              <w:pStyle w:val="null3"/>
            </w:pPr>
            <w:r>
              <w:rPr/>
              <w:t>台式电脑</w:t>
            </w:r>
          </w:p>
        </w:tc>
        <w:tc>
          <w:tcPr>
            <w:tcW w:type="dxa" w:w="831"/>
          </w:tcPr>
          <w:p>
            <w:pPr>
              <w:pStyle w:val="null3"/>
              <w:jc w:val="right"/>
            </w:pPr>
            <w:r>
              <w:rPr/>
              <w:t>22.00</w:t>
            </w:r>
          </w:p>
        </w:tc>
        <w:tc>
          <w:tcPr>
            <w:tcW w:type="dxa" w:w="831"/>
          </w:tcPr>
          <w:p>
            <w:pPr>
              <w:pStyle w:val="null3"/>
              <w:jc w:val="right"/>
            </w:pPr>
            <w:r>
              <w:rPr/>
              <w:t>88,000.00</w:t>
            </w:r>
          </w:p>
        </w:tc>
        <w:tc>
          <w:tcPr>
            <w:tcW w:type="dxa" w:w="831"/>
          </w:tcPr>
          <w:p>
            <w:pPr>
              <w:pStyle w:val="null3"/>
            </w:pPr>
            <w:r>
              <w:rPr/>
              <w:t>台</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3</w:t>
            </w:r>
          </w:p>
        </w:tc>
        <w:tc>
          <w:tcPr>
            <w:tcW w:type="dxa" w:w="831"/>
          </w:tcPr>
          <w:p>
            <w:pPr>
              <w:pStyle w:val="null3"/>
            </w:pPr>
            <w:r>
              <w:rPr/>
              <w:t>笔记本电脑</w:t>
            </w:r>
          </w:p>
        </w:tc>
        <w:tc>
          <w:tcPr>
            <w:tcW w:type="dxa" w:w="831"/>
          </w:tcPr>
          <w:p>
            <w:pPr>
              <w:pStyle w:val="null3"/>
              <w:jc w:val="right"/>
            </w:pPr>
            <w:r>
              <w:rPr/>
              <w:t>32.00</w:t>
            </w:r>
          </w:p>
        </w:tc>
        <w:tc>
          <w:tcPr>
            <w:tcW w:type="dxa" w:w="831"/>
          </w:tcPr>
          <w:p>
            <w:pPr>
              <w:pStyle w:val="null3"/>
              <w:jc w:val="right"/>
            </w:pPr>
            <w:r>
              <w:rPr/>
              <w:t>176,000.00</w:t>
            </w:r>
          </w:p>
        </w:tc>
        <w:tc>
          <w:tcPr>
            <w:tcW w:type="dxa" w:w="831"/>
          </w:tcPr>
          <w:p>
            <w:pPr>
              <w:pStyle w:val="null3"/>
            </w:pPr>
            <w:r>
              <w:rPr/>
              <w:t>台</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4</w:t>
            </w:r>
          </w:p>
        </w:tc>
        <w:tc>
          <w:tcPr>
            <w:tcW w:type="dxa" w:w="831"/>
          </w:tcPr>
          <w:p>
            <w:pPr>
              <w:pStyle w:val="null3"/>
            </w:pPr>
            <w:r>
              <w:rPr/>
              <w:t>系统办公软件</w:t>
            </w:r>
          </w:p>
        </w:tc>
        <w:tc>
          <w:tcPr>
            <w:tcW w:type="dxa" w:w="831"/>
          </w:tcPr>
          <w:p>
            <w:pPr>
              <w:pStyle w:val="null3"/>
              <w:jc w:val="right"/>
            </w:pPr>
            <w:r>
              <w:rPr/>
              <w:t>54.00</w:t>
            </w:r>
          </w:p>
        </w:tc>
        <w:tc>
          <w:tcPr>
            <w:tcW w:type="dxa" w:w="831"/>
          </w:tcPr>
          <w:p>
            <w:pPr>
              <w:pStyle w:val="null3"/>
              <w:jc w:val="right"/>
            </w:pPr>
            <w:r>
              <w:rPr/>
              <w:t>70,200.00</w:t>
            </w:r>
          </w:p>
        </w:tc>
        <w:tc>
          <w:tcPr>
            <w:tcW w:type="dxa" w:w="831"/>
          </w:tcPr>
          <w:p>
            <w:pPr>
              <w:pStyle w:val="null3"/>
            </w:pPr>
            <w:r>
              <w:rPr/>
              <w:t>套</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5</w:t>
            </w:r>
          </w:p>
        </w:tc>
        <w:tc>
          <w:tcPr>
            <w:tcW w:type="dxa" w:w="831"/>
          </w:tcPr>
          <w:p>
            <w:pPr>
              <w:pStyle w:val="null3"/>
            </w:pPr>
            <w:r>
              <w:rPr/>
              <w:t>直饮机</w:t>
            </w:r>
          </w:p>
        </w:tc>
        <w:tc>
          <w:tcPr>
            <w:tcW w:type="dxa" w:w="831"/>
          </w:tcPr>
          <w:p>
            <w:pPr>
              <w:pStyle w:val="null3"/>
              <w:jc w:val="right"/>
            </w:pPr>
            <w:r>
              <w:rPr/>
              <w:t>9.00</w:t>
            </w:r>
          </w:p>
        </w:tc>
        <w:tc>
          <w:tcPr>
            <w:tcW w:type="dxa" w:w="831"/>
          </w:tcPr>
          <w:p>
            <w:pPr>
              <w:pStyle w:val="null3"/>
              <w:jc w:val="right"/>
            </w:pPr>
            <w:r>
              <w:rPr/>
              <w:t>58,500.00</w:t>
            </w:r>
          </w:p>
        </w:tc>
        <w:tc>
          <w:tcPr>
            <w:tcW w:type="dxa" w:w="831"/>
          </w:tcPr>
          <w:p>
            <w:pPr>
              <w:pStyle w:val="null3"/>
            </w:pPr>
            <w:r>
              <w:rPr/>
              <w:t>台</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6</w:t>
            </w:r>
          </w:p>
        </w:tc>
        <w:tc>
          <w:tcPr>
            <w:tcW w:type="dxa" w:w="831"/>
          </w:tcPr>
          <w:p>
            <w:pPr>
              <w:pStyle w:val="null3"/>
            </w:pPr>
            <w:r>
              <w:rPr/>
              <w:t>摄像机枪机</w:t>
            </w:r>
          </w:p>
        </w:tc>
        <w:tc>
          <w:tcPr>
            <w:tcW w:type="dxa" w:w="831"/>
          </w:tcPr>
          <w:p>
            <w:pPr>
              <w:pStyle w:val="null3"/>
              <w:jc w:val="right"/>
            </w:pPr>
            <w:r>
              <w:rPr/>
              <w:t>20.00</w:t>
            </w:r>
          </w:p>
        </w:tc>
        <w:tc>
          <w:tcPr>
            <w:tcW w:type="dxa" w:w="831"/>
          </w:tcPr>
          <w:p>
            <w:pPr>
              <w:pStyle w:val="null3"/>
              <w:jc w:val="right"/>
            </w:pPr>
            <w:r>
              <w:rPr/>
              <w:t>9,000.00</w:t>
            </w:r>
          </w:p>
        </w:tc>
        <w:tc>
          <w:tcPr>
            <w:tcW w:type="dxa" w:w="831"/>
          </w:tcPr>
          <w:p>
            <w:pPr>
              <w:pStyle w:val="null3"/>
            </w:pPr>
            <w:r>
              <w:rPr/>
              <w:t>台</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7</w:t>
            </w:r>
          </w:p>
        </w:tc>
        <w:tc>
          <w:tcPr>
            <w:tcW w:type="dxa" w:w="831"/>
          </w:tcPr>
          <w:p>
            <w:pPr>
              <w:pStyle w:val="null3"/>
            </w:pPr>
            <w:r>
              <w:rPr/>
              <w:t>摄像机半球</w:t>
            </w:r>
          </w:p>
        </w:tc>
        <w:tc>
          <w:tcPr>
            <w:tcW w:type="dxa" w:w="831"/>
          </w:tcPr>
          <w:p>
            <w:pPr>
              <w:pStyle w:val="null3"/>
              <w:jc w:val="right"/>
            </w:pPr>
            <w:r>
              <w:rPr/>
              <w:t>20.00</w:t>
            </w:r>
          </w:p>
        </w:tc>
        <w:tc>
          <w:tcPr>
            <w:tcW w:type="dxa" w:w="831"/>
          </w:tcPr>
          <w:p>
            <w:pPr>
              <w:pStyle w:val="null3"/>
              <w:jc w:val="right"/>
            </w:pPr>
            <w:r>
              <w:rPr/>
              <w:t>9,000.00</w:t>
            </w:r>
          </w:p>
        </w:tc>
        <w:tc>
          <w:tcPr>
            <w:tcW w:type="dxa" w:w="831"/>
          </w:tcPr>
          <w:p>
            <w:pPr>
              <w:pStyle w:val="null3"/>
            </w:pPr>
            <w:r>
              <w:rPr/>
              <w:t>台</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8</w:t>
            </w:r>
          </w:p>
        </w:tc>
        <w:tc>
          <w:tcPr>
            <w:tcW w:type="dxa" w:w="831"/>
          </w:tcPr>
          <w:p>
            <w:pPr>
              <w:pStyle w:val="null3"/>
            </w:pPr>
            <w:r>
              <w:rPr/>
              <w:t>球机</w:t>
            </w:r>
          </w:p>
        </w:tc>
        <w:tc>
          <w:tcPr>
            <w:tcW w:type="dxa" w:w="831"/>
          </w:tcPr>
          <w:p>
            <w:pPr>
              <w:pStyle w:val="null3"/>
              <w:jc w:val="right"/>
            </w:pPr>
            <w:r>
              <w:rPr/>
              <w:t>4.00</w:t>
            </w:r>
          </w:p>
        </w:tc>
        <w:tc>
          <w:tcPr>
            <w:tcW w:type="dxa" w:w="831"/>
          </w:tcPr>
          <w:p>
            <w:pPr>
              <w:pStyle w:val="null3"/>
              <w:jc w:val="right"/>
            </w:pPr>
            <w:r>
              <w:rPr/>
              <w:t>8,400.00</w:t>
            </w:r>
          </w:p>
        </w:tc>
        <w:tc>
          <w:tcPr>
            <w:tcW w:type="dxa" w:w="831"/>
          </w:tcPr>
          <w:p>
            <w:pPr>
              <w:pStyle w:val="null3"/>
            </w:pPr>
            <w:r>
              <w:rPr/>
              <w:t>台</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9</w:t>
            </w:r>
          </w:p>
        </w:tc>
        <w:tc>
          <w:tcPr>
            <w:tcW w:type="dxa" w:w="831"/>
          </w:tcPr>
          <w:p>
            <w:pPr>
              <w:pStyle w:val="null3"/>
            </w:pPr>
            <w:r>
              <w:rPr/>
              <w:t>球机支架</w:t>
            </w:r>
          </w:p>
        </w:tc>
        <w:tc>
          <w:tcPr>
            <w:tcW w:type="dxa" w:w="831"/>
          </w:tcPr>
          <w:p>
            <w:pPr>
              <w:pStyle w:val="null3"/>
              <w:jc w:val="right"/>
            </w:pPr>
            <w:r>
              <w:rPr/>
              <w:t>3.00</w:t>
            </w:r>
          </w:p>
        </w:tc>
        <w:tc>
          <w:tcPr>
            <w:tcW w:type="dxa" w:w="831"/>
          </w:tcPr>
          <w:p>
            <w:pPr>
              <w:pStyle w:val="null3"/>
              <w:jc w:val="right"/>
            </w:pPr>
            <w:r>
              <w:rPr/>
              <w:t>360.00</w:t>
            </w:r>
          </w:p>
        </w:tc>
        <w:tc>
          <w:tcPr>
            <w:tcW w:type="dxa" w:w="831"/>
          </w:tcPr>
          <w:p>
            <w:pPr>
              <w:pStyle w:val="null3"/>
            </w:pPr>
            <w:r>
              <w:rPr/>
              <w:t>个</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10</w:t>
            </w:r>
          </w:p>
        </w:tc>
        <w:tc>
          <w:tcPr>
            <w:tcW w:type="dxa" w:w="831"/>
          </w:tcPr>
          <w:p>
            <w:pPr>
              <w:pStyle w:val="null3"/>
            </w:pPr>
            <w:r>
              <w:rPr/>
              <w:t>枪机专用支架</w:t>
            </w:r>
          </w:p>
        </w:tc>
        <w:tc>
          <w:tcPr>
            <w:tcW w:type="dxa" w:w="831"/>
          </w:tcPr>
          <w:p>
            <w:pPr>
              <w:pStyle w:val="null3"/>
              <w:jc w:val="right"/>
            </w:pPr>
            <w:r>
              <w:rPr/>
              <w:t>20.00</w:t>
            </w:r>
          </w:p>
        </w:tc>
        <w:tc>
          <w:tcPr>
            <w:tcW w:type="dxa" w:w="831"/>
          </w:tcPr>
          <w:p>
            <w:pPr>
              <w:pStyle w:val="null3"/>
              <w:jc w:val="right"/>
            </w:pPr>
            <w:r>
              <w:rPr/>
              <w:t>1,000.00</w:t>
            </w:r>
          </w:p>
        </w:tc>
        <w:tc>
          <w:tcPr>
            <w:tcW w:type="dxa" w:w="831"/>
          </w:tcPr>
          <w:p>
            <w:pPr>
              <w:pStyle w:val="null3"/>
            </w:pPr>
            <w:r>
              <w:rPr/>
              <w:t>个</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11</w:t>
            </w:r>
          </w:p>
        </w:tc>
        <w:tc>
          <w:tcPr>
            <w:tcW w:type="dxa" w:w="831"/>
          </w:tcPr>
          <w:p>
            <w:pPr>
              <w:pStyle w:val="null3"/>
            </w:pPr>
            <w:r>
              <w:rPr/>
              <w:t>POE 8口交换机</w:t>
            </w:r>
          </w:p>
        </w:tc>
        <w:tc>
          <w:tcPr>
            <w:tcW w:type="dxa" w:w="831"/>
          </w:tcPr>
          <w:p>
            <w:pPr>
              <w:pStyle w:val="null3"/>
              <w:jc w:val="right"/>
            </w:pPr>
            <w:r>
              <w:rPr/>
              <w:t>6.00</w:t>
            </w:r>
          </w:p>
        </w:tc>
        <w:tc>
          <w:tcPr>
            <w:tcW w:type="dxa" w:w="831"/>
          </w:tcPr>
          <w:p>
            <w:pPr>
              <w:pStyle w:val="null3"/>
              <w:jc w:val="right"/>
            </w:pPr>
            <w:r>
              <w:rPr/>
              <w:t>2,160.00</w:t>
            </w:r>
          </w:p>
        </w:tc>
        <w:tc>
          <w:tcPr>
            <w:tcW w:type="dxa" w:w="831"/>
          </w:tcPr>
          <w:p>
            <w:pPr>
              <w:pStyle w:val="null3"/>
            </w:pPr>
            <w:r>
              <w:rPr/>
              <w:t>台</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12</w:t>
            </w:r>
          </w:p>
        </w:tc>
        <w:tc>
          <w:tcPr>
            <w:tcW w:type="dxa" w:w="831"/>
          </w:tcPr>
          <w:p>
            <w:pPr>
              <w:pStyle w:val="null3"/>
            </w:pPr>
            <w:r>
              <w:rPr/>
              <w:t>超五类监控专用网线</w:t>
            </w:r>
          </w:p>
        </w:tc>
        <w:tc>
          <w:tcPr>
            <w:tcW w:type="dxa" w:w="831"/>
          </w:tcPr>
          <w:p>
            <w:pPr>
              <w:pStyle w:val="null3"/>
              <w:jc w:val="right"/>
            </w:pPr>
            <w:r>
              <w:rPr/>
              <w:t>2,800.00</w:t>
            </w:r>
          </w:p>
        </w:tc>
        <w:tc>
          <w:tcPr>
            <w:tcW w:type="dxa" w:w="831"/>
          </w:tcPr>
          <w:p>
            <w:pPr>
              <w:pStyle w:val="null3"/>
              <w:jc w:val="right"/>
            </w:pPr>
            <w:r>
              <w:rPr/>
              <w:t>11,200.00</w:t>
            </w:r>
          </w:p>
        </w:tc>
        <w:tc>
          <w:tcPr>
            <w:tcW w:type="dxa" w:w="831"/>
          </w:tcPr>
          <w:p>
            <w:pPr>
              <w:pStyle w:val="null3"/>
            </w:pPr>
            <w:r>
              <w:rPr/>
              <w:t>米</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13</w:t>
            </w:r>
          </w:p>
        </w:tc>
        <w:tc>
          <w:tcPr>
            <w:tcW w:type="dxa" w:w="831"/>
          </w:tcPr>
          <w:p>
            <w:pPr>
              <w:pStyle w:val="null3"/>
            </w:pPr>
            <w:r>
              <w:rPr/>
              <w:t>2*0.75专用电源线</w:t>
            </w:r>
          </w:p>
        </w:tc>
        <w:tc>
          <w:tcPr>
            <w:tcW w:type="dxa" w:w="831"/>
          </w:tcPr>
          <w:p>
            <w:pPr>
              <w:pStyle w:val="null3"/>
              <w:jc w:val="right"/>
            </w:pPr>
            <w:r>
              <w:rPr/>
              <w:t>2,200.00</w:t>
            </w:r>
          </w:p>
        </w:tc>
        <w:tc>
          <w:tcPr>
            <w:tcW w:type="dxa" w:w="831"/>
          </w:tcPr>
          <w:p>
            <w:pPr>
              <w:pStyle w:val="null3"/>
              <w:jc w:val="right"/>
            </w:pPr>
            <w:r>
              <w:rPr/>
              <w:t>5,500.00</w:t>
            </w:r>
          </w:p>
        </w:tc>
        <w:tc>
          <w:tcPr>
            <w:tcW w:type="dxa" w:w="831"/>
          </w:tcPr>
          <w:p>
            <w:pPr>
              <w:pStyle w:val="null3"/>
            </w:pPr>
            <w:r>
              <w:rPr/>
              <w:t>米</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14</w:t>
            </w:r>
          </w:p>
        </w:tc>
        <w:tc>
          <w:tcPr>
            <w:tcW w:type="dxa" w:w="831"/>
          </w:tcPr>
          <w:p>
            <w:pPr>
              <w:pStyle w:val="null3"/>
            </w:pPr>
            <w:r>
              <w:rPr/>
              <w:t>录像机</w:t>
            </w:r>
          </w:p>
        </w:tc>
        <w:tc>
          <w:tcPr>
            <w:tcW w:type="dxa" w:w="831"/>
          </w:tcPr>
          <w:p>
            <w:pPr>
              <w:pStyle w:val="null3"/>
              <w:jc w:val="right"/>
            </w:pPr>
            <w:r>
              <w:rPr/>
              <w:t>1.00</w:t>
            </w:r>
          </w:p>
        </w:tc>
        <w:tc>
          <w:tcPr>
            <w:tcW w:type="dxa" w:w="831"/>
          </w:tcPr>
          <w:p>
            <w:pPr>
              <w:pStyle w:val="null3"/>
              <w:jc w:val="right"/>
            </w:pPr>
            <w:r>
              <w:rPr/>
              <w:t>2,410.00</w:t>
            </w:r>
          </w:p>
        </w:tc>
        <w:tc>
          <w:tcPr>
            <w:tcW w:type="dxa" w:w="831"/>
          </w:tcPr>
          <w:p>
            <w:pPr>
              <w:pStyle w:val="null3"/>
            </w:pPr>
            <w:r>
              <w:rPr/>
              <w:t>台</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15</w:t>
            </w:r>
          </w:p>
        </w:tc>
        <w:tc>
          <w:tcPr>
            <w:tcW w:type="dxa" w:w="831"/>
          </w:tcPr>
          <w:p>
            <w:pPr>
              <w:pStyle w:val="null3"/>
            </w:pPr>
            <w:r>
              <w:rPr/>
              <w:t>监控监视器</w:t>
            </w:r>
          </w:p>
        </w:tc>
        <w:tc>
          <w:tcPr>
            <w:tcW w:type="dxa" w:w="831"/>
          </w:tcPr>
          <w:p>
            <w:pPr>
              <w:pStyle w:val="null3"/>
              <w:jc w:val="right"/>
            </w:pPr>
            <w:r>
              <w:rPr/>
              <w:t>1.00</w:t>
            </w:r>
          </w:p>
        </w:tc>
        <w:tc>
          <w:tcPr>
            <w:tcW w:type="dxa" w:w="831"/>
          </w:tcPr>
          <w:p>
            <w:pPr>
              <w:pStyle w:val="null3"/>
              <w:jc w:val="right"/>
            </w:pPr>
            <w:r>
              <w:rPr/>
              <w:t>2,500.00</w:t>
            </w:r>
          </w:p>
        </w:tc>
        <w:tc>
          <w:tcPr>
            <w:tcW w:type="dxa" w:w="831"/>
          </w:tcPr>
          <w:p>
            <w:pPr>
              <w:pStyle w:val="null3"/>
            </w:pPr>
            <w:r>
              <w:rPr/>
              <w:t>台</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16</w:t>
            </w:r>
          </w:p>
        </w:tc>
        <w:tc>
          <w:tcPr>
            <w:tcW w:type="dxa" w:w="831"/>
          </w:tcPr>
          <w:p>
            <w:pPr>
              <w:pStyle w:val="null3"/>
            </w:pPr>
            <w:r>
              <w:rPr/>
              <w:t>线管线材</w:t>
            </w:r>
          </w:p>
        </w:tc>
        <w:tc>
          <w:tcPr>
            <w:tcW w:type="dxa" w:w="831"/>
          </w:tcPr>
          <w:p>
            <w:pPr>
              <w:pStyle w:val="null3"/>
              <w:jc w:val="right"/>
            </w:pPr>
            <w:r>
              <w:rPr/>
              <w:t>1.00</w:t>
            </w:r>
          </w:p>
        </w:tc>
        <w:tc>
          <w:tcPr>
            <w:tcW w:type="dxa" w:w="831"/>
          </w:tcPr>
          <w:p>
            <w:pPr>
              <w:pStyle w:val="null3"/>
              <w:jc w:val="right"/>
            </w:pPr>
            <w:r>
              <w:rPr/>
              <w:t>1,000.00</w:t>
            </w:r>
          </w:p>
        </w:tc>
        <w:tc>
          <w:tcPr>
            <w:tcW w:type="dxa" w:w="831"/>
          </w:tcPr>
          <w:p>
            <w:pPr>
              <w:pStyle w:val="null3"/>
            </w:pPr>
            <w:r>
              <w:rPr/>
              <w:t>批</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17</w:t>
            </w:r>
          </w:p>
        </w:tc>
        <w:tc>
          <w:tcPr>
            <w:tcW w:type="dxa" w:w="831"/>
          </w:tcPr>
          <w:p>
            <w:pPr>
              <w:pStyle w:val="null3"/>
            </w:pPr>
            <w:r>
              <w:rPr/>
              <w:t>监控级、6TB专用存储硬盘</w:t>
            </w:r>
          </w:p>
        </w:tc>
        <w:tc>
          <w:tcPr>
            <w:tcW w:type="dxa" w:w="831"/>
          </w:tcPr>
          <w:p>
            <w:pPr>
              <w:pStyle w:val="null3"/>
              <w:jc w:val="right"/>
            </w:pPr>
            <w:r>
              <w:rPr/>
              <w:t>5.00</w:t>
            </w:r>
          </w:p>
        </w:tc>
        <w:tc>
          <w:tcPr>
            <w:tcW w:type="dxa" w:w="831"/>
          </w:tcPr>
          <w:p>
            <w:pPr>
              <w:pStyle w:val="null3"/>
              <w:jc w:val="right"/>
            </w:pPr>
            <w:r>
              <w:rPr/>
              <w:t>4,750.00</w:t>
            </w:r>
          </w:p>
        </w:tc>
        <w:tc>
          <w:tcPr>
            <w:tcW w:type="dxa" w:w="831"/>
          </w:tcPr>
          <w:p>
            <w:pPr>
              <w:pStyle w:val="null3"/>
            </w:pPr>
            <w:r>
              <w:rPr/>
              <w:t>块</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18</w:t>
            </w:r>
          </w:p>
        </w:tc>
        <w:tc>
          <w:tcPr>
            <w:tcW w:type="dxa" w:w="831"/>
          </w:tcPr>
          <w:p>
            <w:pPr>
              <w:pStyle w:val="null3"/>
            </w:pPr>
            <w:r>
              <w:rPr/>
              <w:t>安装调试</w:t>
            </w:r>
          </w:p>
        </w:tc>
        <w:tc>
          <w:tcPr>
            <w:tcW w:type="dxa" w:w="831"/>
          </w:tcPr>
          <w:p>
            <w:pPr>
              <w:pStyle w:val="null3"/>
              <w:jc w:val="right"/>
            </w:pPr>
            <w:r>
              <w:rPr/>
              <w:t>1.00</w:t>
            </w:r>
          </w:p>
        </w:tc>
        <w:tc>
          <w:tcPr>
            <w:tcW w:type="dxa" w:w="831"/>
          </w:tcPr>
          <w:p>
            <w:pPr>
              <w:pStyle w:val="null3"/>
              <w:jc w:val="right"/>
            </w:pPr>
            <w:r>
              <w:rPr/>
              <w:t>2,000.00</w:t>
            </w:r>
          </w:p>
        </w:tc>
        <w:tc>
          <w:tcPr>
            <w:tcW w:type="dxa" w:w="831"/>
          </w:tcPr>
          <w:p>
            <w:pPr>
              <w:pStyle w:val="null3"/>
            </w:pPr>
            <w:r>
              <w:rPr/>
              <w:t>次</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19</w:t>
            </w:r>
          </w:p>
        </w:tc>
        <w:tc>
          <w:tcPr>
            <w:tcW w:type="dxa" w:w="831"/>
          </w:tcPr>
          <w:p>
            <w:pPr>
              <w:pStyle w:val="null3"/>
            </w:pPr>
            <w:r>
              <w:rPr/>
              <w:t>LED拼接屏</w:t>
            </w:r>
          </w:p>
        </w:tc>
        <w:tc>
          <w:tcPr>
            <w:tcW w:type="dxa" w:w="831"/>
          </w:tcPr>
          <w:p>
            <w:pPr>
              <w:pStyle w:val="null3"/>
              <w:jc w:val="right"/>
            </w:pPr>
            <w:r>
              <w:rPr/>
              <w:t>4.00</w:t>
            </w:r>
          </w:p>
        </w:tc>
        <w:tc>
          <w:tcPr>
            <w:tcW w:type="dxa" w:w="831"/>
          </w:tcPr>
          <w:p>
            <w:pPr>
              <w:pStyle w:val="null3"/>
              <w:jc w:val="right"/>
            </w:pPr>
            <w:r>
              <w:rPr/>
              <w:t>14,000.00</w:t>
            </w:r>
          </w:p>
        </w:tc>
        <w:tc>
          <w:tcPr>
            <w:tcW w:type="dxa" w:w="831"/>
          </w:tcPr>
          <w:p>
            <w:pPr>
              <w:pStyle w:val="null3"/>
            </w:pPr>
            <w:r>
              <w:rPr/>
              <w:t>台</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20</w:t>
            </w:r>
          </w:p>
        </w:tc>
        <w:tc>
          <w:tcPr>
            <w:tcW w:type="dxa" w:w="831"/>
          </w:tcPr>
          <w:p>
            <w:pPr>
              <w:pStyle w:val="null3"/>
            </w:pPr>
            <w:r>
              <w:rPr/>
              <w:t>监控专用监视器移动支架</w:t>
            </w:r>
          </w:p>
        </w:tc>
        <w:tc>
          <w:tcPr>
            <w:tcW w:type="dxa" w:w="831"/>
          </w:tcPr>
          <w:p>
            <w:pPr>
              <w:pStyle w:val="null3"/>
              <w:jc w:val="right"/>
            </w:pPr>
            <w:r>
              <w:rPr/>
              <w:t>2.00</w:t>
            </w:r>
          </w:p>
        </w:tc>
        <w:tc>
          <w:tcPr>
            <w:tcW w:type="dxa" w:w="831"/>
          </w:tcPr>
          <w:p>
            <w:pPr>
              <w:pStyle w:val="null3"/>
              <w:jc w:val="right"/>
            </w:pPr>
            <w:r>
              <w:rPr/>
              <w:t>700.00</w:t>
            </w:r>
          </w:p>
        </w:tc>
        <w:tc>
          <w:tcPr>
            <w:tcW w:type="dxa" w:w="831"/>
          </w:tcPr>
          <w:p>
            <w:pPr>
              <w:pStyle w:val="null3"/>
            </w:pPr>
            <w:r>
              <w:rPr/>
              <w:t>台</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21</w:t>
            </w:r>
          </w:p>
        </w:tc>
        <w:tc>
          <w:tcPr>
            <w:tcW w:type="dxa" w:w="831"/>
          </w:tcPr>
          <w:p>
            <w:pPr>
              <w:pStyle w:val="null3"/>
            </w:pPr>
            <w:r>
              <w:rPr/>
              <w:t>手机支架</w:t>
            </w:r>
          </w:p>
        </w:tc>
        <w:tc>
          <w:tcPr>
            <w:tcW w:type="dxa" w:w="831"/>
          </w:tcPr>
          <w:p>
            <w:pPr>
              <w:pStyle w:val="null3"/>
              <w:jc w:val="right"/>
            </w:pPr>
            <w:r>
              <w:rPr/>
              <w:t>20.00</w:t>
            </w:r>
          </w:p>
        </w:tc>
        <w:tc>
          <w:tcPr>
            <w:tcW w:type="dxa" w:w="831"/>
          </w:tcPr>
          <w:p>
            <w:pPr>
              <w:pStyle w:val="null3"/>
              <w:jc w:val="right"/>
            </w:pPr>
            <w:r>
              <w:rPr/>
              <w:t>2,400.00</w:t>
            </w:r>
          </w:p>
        </w:tc>
        <w:tc>
          <w:tcPr>
            <w:tcW w:type="dxa" w:w="831"/>
          </w:tcPr>
          <w:p>
            <w:pPr>
              <w:pStyle w:val="null3"/>
            </w:pPr>
            <w:r>
              <w:rPr/>
              <w:t>个</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22</w:t>
            </w:r>
          </w:p>
        </w:tc>
        <w:tc>
          <w:tcPr>
            <w:tcW w:type="dxa" w:w="831"/>
          </w:tcPr>
          <w:p>
            <w:pPr>
              <w:pStyle w:val="null3"/>
            </w:pPr>
            <w:r>
              <w:rPr/>
              <w:t>额温枪</w:t>
            </w:r>
          </w:p>
        </w:tc>
        <w:tc>
          <w:tcPr>
            <w:tcW w:type="dxa" w:w="831"/>
          </w:tcPr>
          <w:p>
            <w:pPr>
              <w:pStyle w:val="null3"/>
              <w:jc w:val="right"/>
            </w:pPr>
            <w:r>
              <w:rPr/>
              <w:t>20.00</w:t>
            </w:r>
          </w:p>
        </w:tc>
        <w:tc>
          <w:tcPr>
            <w:tcW w:type="dxa" w:w="831"/>
          </w:tcPr>
          <w:p>
            <w:pPr>
              <w:pStyle w:val="null3"/>
              <w:jc w:val="right"/>
            </w:pPr>
            <w:r>
              <w:rPr/>
              <w:t>3,400.00</w:t>
            </w:r>
          </w:p>
        </w:tc>
        <w:tc>
          <w:tcPr>
            <w:tcW w:type="dxa" w:w="831"/>
          </w:tcPr>
          <w:p>
            <w:pPr>
              <w:pStyle w:val="null3"/>
            </w:pPr>
            <w:r>
              <w:rPr/>
              <w:t>个</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标的名称：教学一体机+移动支架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t>一：整机硬件参数</w:t>
            </w:r>
            <w:r>
              <w:br/>
            </w:r>
            <w:r>
              <w:rPr/>
              <w:t xml:space="preserve"> 1、整机屏幕采用86英寸超高清LED 液晶显示屏，屏幕分辨率不低于3840*2160，显示比例16:9，可视角度≥178°；支持UHD高清点对点显示，屏幕显示灰度分辨等级达到256灰阶以上；提供生产厂家出具的、相应的功能证明材料（包括但不限于测试报告、官网和功能截图等）</w:t>
            </w:r>
            <w:r>
              <w:br/>
            </w:r>
            <w:r>
              <w:rPr/>
              <w:t xml:space="preserve"> 2、产品不应有危险锐利边缘及危险锐利尖端，转角及边框部位都应经倒圆或者倒角处理，且倒圆半径不小于10mm或者倒圆弧长不小于15mm，符合幼儿园家具设备技术条件要求；</w:t>
            </w:r>
            <w:r>
              <w:br/>
            </w:r>
            <w:r>
              <w:rPr/>
              <w:t xml:space="preserve"> 3、整机采用AG 防眩光玻璃，玻璃厚度不超过4mm,具备防眩光效果，表面书写硬度≥9H；提供生产厂家出具的、相应的功能证明材料（包括但不限于测试报告、官网和功能截图等）</w:t>
            </w:r>
            <w:r>
              <w:br/>
            </w:r>
            <w:r>
              <w:rPr/>
              <w:t xml:space="preserve"> 3、前置接口≥USB3.0*2，侧置接口：≥1路HDMI  ；≥1路Audio out；≥1路touch USB;≥1路RS232提供生产厂家出具的、相应的功能证明材料（包括但不限于测试报告、官网和功能截图等）</w:t>
            </w:r>
            <w:r>
              <w:br/>
            </w:r>
            <w:r>
              <w:rPr/>
              <w:t xml:space="preserve"> 4、整机采用红外触控技术，可支持不少于四十点触控，便于多名幼儿同时操作书写；提供生产厂家出具的、相应的功能证明材料（包括但不限于测试报告、官网和功能截图等）</w:t>
            </w:r>
            <w:r>
              <w:br/>
            </w:r>
            <w:r>
              <w:rPr/>
              <w:t xml:space="preserve"> 5、整机在任意信号源通道均可调出全通道触摸中控设置菜单，将信号源通道切换、声音调节、节能等整合到同一菜单下，其中还提供一键开启/关闭屏幕亮度光感自动调节等护眼模式；提供生产厂家出具的、相应的功能证明材料（包括但不限于测试报告、官网和功能截图等）</w:t>
            </w:r>
            <w:r>
              <w:br/>
            </w:r>
            <w:r>
              <w:rPr/>
              <w:t xml:space="preserve"> 6、在任意通道下支持手势识别调出板擦工具擦除批注内容，且看根据手与屏幕的接触面积自动调整板擦工具的大小；</w:t>
            </w:r>
            <w:r>
              <w:br/>
            </w:r>
            <w:r>
              <w:rPr/>
              <w:t xml:space="preserve"> 7、整机钢化玻璃和液晶显示层间隙＜1mm，减少显示面板与玻璃间的偏光、散射，画面显示更加清晰通透、可视角度更广。</w:t>
            </w:r>
            <w:r>
              <w:br/>
            </w:r>
            <w:r>
              <w:rPr/>
              <w:t xml:space="preserve"> 8、为了呵护儿童用眼健康及保证画面显示效果，整机需要支持光学护眼技术，通过降低LED液晶屏有害蓝光产生量进而达到光学护眼的目的，同时不改变画面显示效果，并通过莱茵认证；(可提供莱茵认证报告)</w:t>
            </w:r>
            <w:r>
              <w:br/>
            </w:r>
            <w:r>
              <w:rPr/>
              <w:t xml:space="preserve"> 9、整机视网膜蓝光危害（蓝光加权辐射亮度LB）符合IEC62471标准，LB限值范围≤0.55（蓝光危害最大状况下）。提供生产厂家出具的、相应的功能证明材料（包括但不限于测试报告、官网和功能截图等）</w:t>
            </w:r>
            <w:r>
              <w:br/>
            </w:r>
            <w:r>
              <w:rPr/>
              <w:t xml:space="preserve"> 10、通过由中国标准化研究院制定的视觉舒适度（VICO）体系认证，并达到视觉舒适度A 级或以上标准。</w:t>
            </w:r>
            <w:r>
              <w:br/>
            </w:r>
            <w:r>
              <w:rPr/>
              <w:t xml:space="preserve"> 11、标准、柔和、动态、智能；智能模式下，整机根据显示内容的差异，自动在标准，柔和和动态模式中切换，以保证最佳观看效果，此模式可以开关；提供生产厂家出具的、相应的功能证明材料（包括但不限于测试报告、官网和功能截图等）</w:t>
            </w:r>
            <w:r>
              <w:br/>
            </w:r>
            <w:r>
              <w:rPr/>
              <w:t xml:space="preserve"> 12、整机内置2.1声道音响，前朝向（避免中高音损失）中高音扬声器2个，后朝向低音扬声器1个，额定总功率不小于40W，音质更加清晰和有质感；提供生产厂家出具的、相应的功能证明材料（包括但不限于测试报告、官网和功能截图等）</w:t>
            </w:r>
            <w:r>
              <w:br/>
            </w:r>
            <w:r>
              <w:rPr/>
              <w:t xml:space="preserve"> 13、整机内置无线传输模块，无需OPS模块电脑或任何外接、转接天线及网卡，即可同时实现Wi-Fi的双频2.4G&amp;5G接收、满足IEEE 802.11 a/b/g/n/ac标准，支持WIFI6；提供生产厂家出具的、相应的功能证明材料（包括但不限于测试报告、官网和功能截图等）</w:t>
            </w:r>
            <w:r>
              <w:br/>
            </w:r>
            <w:r>
              <w:rPr/>
              <w:t xml:space="preserve"> 15、整机面框设计简洁，前置物理按键具备智能电子产品一键式自主融合设计：长按该按键可同时开启/关闭整机系统和内置电脑、短按该按键可节能熄屏/唤醒屏幕；</w:t>
            </w:r>
            <w:r>
              <w:br/>
            </w:r>
            <w:r>
              <w:rPr/>
              <w:t xml:space="preserve"> 16、搭配与整机外观风格一致的卡通摄像头，摄像头像素不低于1300W，视场角不小于120度；摄像头集成内置麦克风拾音，拾音距离不小于8米，摄像头底座预留孔位，可直接手拧，确保后装方便及设备稳定摄录；提供生产厂家出具的、相应的功能证明材料（包括但不限于测试报告、官网和功能截图等）</w:t>
            </w:r>
            <w:r>
              <w:br/>
            </w:r>
            <w:r>
              <w:rPr/>
              <w:t xml:space="preserve"> 17、整机内置AI语音操控模块，唤醒词激活后可通过语音控制整机快速开关白板软件、传屏互动工具、幼儿相机、幼教软件，操控电脑关机、待机及待机唤醒。语义词库支持离线使用，在无网络环境下仍可进行语音交互。方便教师快速上手使用；提供生产厂家出具的、相应的功能证明材料（包括但不限于测试报告、官网和功能截图等）</w:t>
            </w:r>
            <w:r>
              <w:br/>
            </w:r>
            <w:r>
              <w:rPr/>
              <w:t xml:space="preserve"> 18、整机内置幼教专用相机以实现拍照和录像功能；拍照支持延时拍摄，可自由设置延时期限。拍照及录像的开始、保存、重拍、取消等操作均支持智能语音操控，快速记录课堂瞬间和活动视频.提供生产厂家出具的、相应的功能证明材料（包括但不限于测试报告、官网和功能截图等）</w:t>
            </w:r>
            <w:r>
              <w:br/>
            </w:r>
            <w:r>
              <w:rPr/>
              <w:t xml:space="preserve"> 1）提供符合幼教风格的快捷桌面，用户可以快捷进入白板，相机，文件管理及更多应用；</w:t>
            </w:r>
            <w:r>
              <w:br/>
            </w:r>
            <w:r>
              <w:rPr/>
              <w:t xml:space="preserve"> 2）桌面支持最大化与最小化切换，打开应用后，桌面自动进入最小化，不影响应用正常使用，同时支持随意拖拽；</w:t>
            </w:r>
            <w:r>
              <w:br/>
            </w:r>
            <w:r>
              <w:rPr/>
              <w:t xml:space="preserve"> 3）支持自定义设备名称：教师可以自定义编辑主页名称，如“XX幼儿园小一班”；</w:t>
            </w:r>
            <w:r>
              <w:br/>
            </w:r>
            <w:r>
              <w:rPr/>
              <w:t xml:space="preserve"> 4）主页可以实时显示时间及网络链接情况；</w:t>
            </w:r>
            <w:r>
              <w:br/>
            </w:r>
            <w:r>
              <w:rPr/>
              <w:t xml:space="preserve"> 5）提供更多应用功能列表，用户可以快速定位应用；同时支持用户管理应用，教师可以根据教学需要增加需要的应用，以及删除不需要的应用；</w:t>
            </w:r>
            <w:r>
              <w:br/>
            </w:r>
            <w:r>
              <w:rPr/>
              <w:t xml:space="preserve"> 6）返回windows桌面：提供快捷返回windows界面功能；</w:t>
            </w:r>
            <w:r>
              <w:br/>
            </w:r>
            <w:r>
              <w:rPr/>
              <w:t xml:space="preserve"> 7）自动更新检测：系统自动监测是否当前为最新版本，若不在最新版本，可进行一键更新；</w:t>
            </w:r>
            <w:r>
              <w:br/>
            </w:r>
            <w:r>
              <w:rPr/>
              <w:t xml:space="preserve"> 8）设置功能：用户可快捷调节亮度及音量，可以快捷进入网络设置及链接；</w:t>
            </w:r>
            <w:r>
              <w:br/>
            </w:r>
            <w:r>
              <w:rPr/>
              <w:t xml:space="preserve"> 二：电脑配置</w:t>
            </w:r>
            <w:r>
              <w:br/>
            </w:r>
            <w:r>
              <w:rPr/>
              <w:t xml:space="preserve"> 1.采用模块化电脑方案，抽拉内置式，采用按压式开关，无需工具即可快速拆卸电脑模块。</w:t>
            </w:r>
            <w:r>
              <w:br/>
            </w:r>
            <w:r>
              <w:rPr/>
              <w:t xml:space="preserve"> 2.电脑处理器：Intel Core i5配置；内存：8G DDR4 笔记本内存或以上配置；硬盘：256G固态硬盘或者以上配置。</w:t>
            </w:r>
            <w:r>
              <w:br/>
            </w:r>
            <w:r>
              <w:rPr/>
              <w:t xml:space="preserve"> 3.电脑配置千兆有线网卡，内置双频(2.4G&amp;5G) 无线网卡，支持IEEE 802.11a/b/g/n/ac标准,并配备双频WiFi天线，高增益无线网络信号。</w:t>
            </w:r>
            <w:r>
              <w:br/>
            </w:r>
            <w:r>
              <w:rPr/>
              <w:t xml:space="preserve"> 4.具有独立非外扩展的视频输出接口：≥1路HDMI 。具有独立非外扩展的电脑USB接口：电脑上至少具备3个USB3.0 TypeA接口。</w:t>
            </w:r>
            <w:r>
              <w:br/>
            </w:r>
            <w:r>
              <w:rPr/>
              <w:t xml:space="preserve"> 三：白板软件功能</w:t>
            </w:r>
            <w:r>
              <w:br/>
            </w:r>
            <w:r>
              <w:rPr/>
              <w:t xml:space="preserve"> 1.备授课一体化，具有备课模式及授课模式，且操作界面根据备课和授课使用场景不同而区别设计，符合用户使用需求。支持老师个人账号注册登录使用，也可通过USB key进行身份快速识别登录。支持课件云存储，无需使用U盘等存储设备，老师只需联网登录即可获取云课件。支持课件云同步，课件上的所有修改、操作均可实时同步至云端，无需单独保存上传，确保多终端调用同个课件均为最新版本。</w:t>
            </w:r>
            <w:r>
              <w:br/>
            </w:r>
            <w:r>
              <w:rPr/>
              <w:t xml:space="preserve"> 2.教学系统/为使用方全体教师配备个人账号，形成一体的信息化教学账号体系；根据教师账号信息将教师云空间匹配至对应学校、学科校本资源库。支持通过数字账号、微信二维码、硬件密钥方式登录教师个人账号。</w:t>
            </w:r>
            <w:r>
              <w:br/>
            </w:r>
            <w:r>
              <w:rPr/>
              <w:t xml:space="preserve"> 3.软件支持电子化听评课功能，老师可在授课模式下在线发起听评课，其他老师可通过二维码进行评价以及获取课件，发起老师可在我的学校中查看历史评课记录并进行文档导出，至少支持word及pdf或其他常见的文档格式等.提供生产厂家出具的、相应的功能证明材料（包括但不限于测试报告、官网和功能截图等）</w:t>
            </w:r>
            <w:r>
              <w:br/>
            </w:r>
            <w:r>
              <w:rPr/>
              <w:t xml:space="preserve"> 4.互动课件与多媒体素材的云空间相互独立，互不干扰；教师可新建课件组或素材文件夹对教学资源进行个性化的分类与标记，便于管理；多媒体素材库内的素材可随时插入互动课件，互动课件内的多媒体素材可在课件内直接上传至多媒体素材存储空间，便于教师调用、采集教学素材。</w:t>
            </w:r>
            <w:r>
              <w:br/>
            </w:r>
            <w:r>
              <w:rPr/>
              <w:t xml:space="preserve"> 5.互动课件内容的编辑修改无需人为保存即可自动同步至云空间，可根据教师需要调整云空间自动同步的时间间隔，避免教学资源的损坏、遗失。</w:t>
            </w:r>
            <w:r>
              <w:br/>
            </w:r>
            <w:r>
              <w:rPr/>
              <w:t xml:space="preserve"> 6.白板软件支持老师发起集体备课功能，老师可自行选择对应课件、资源等发起线上备课，邀请其他老师共同参加，参与的老师可在评论区发表个人观点以及对其他老师的观点进行点赞等，参与老师还可以实时对课件内容进行打点批注，以及引用到个人云空间，研讨备课结束后，可自动生成信息化报告，方便老师获取查看。提供生产厂家出具的、相应的功能证明材料（包括但不限于测试报告、官网和功能截图等）</w:t>
            </w:r>
            <w:r>
              <w:br/>
            </w:r>
            <w:r>
              <w:rPr/>
              <w:t xml:space="preserve"> 7.支持PPT的原生解析，教师可将pptx课件转化为互动教学课件，支持单份导入和批量文件夹导入两种格式，保留pptx原文件中的文字、图片、表格等对象及动画的可编辑性，并可为课件增加互动教学元素。</w:t>
            </w:r>
            <w:r>
              <w:br/>
            </w:r>
            <w:r>
              <w:rPr/>
              <w:t xml:space="preserve"> 8.可自由调节课件画面的显示比例，支持16:9、4：3画面显示比，可适配各类显示设备。</w:t>
            </w:r>
            <w:r>
              <w:br/>
            </w:r>
            <w:r>
              <w:rPr/>
              <w:t xml:space="preserve"> 教学系统内嵌文字、视频教程，方便教师了解学习。</w:t>
            </w:r>
            <w:r>
              <w:br/>
            </w:r>
            <w:r>
              <w:rPr/>
              <w:t xml:space="preserve"> 9.AI智能纠错：软件内置的AI智能语义分析模块，可对输入的英文文本的拼写、句型、语法进行错误检查，并支持一键纠错。提供生产厂家出具的、相应的功能证明材料（包括但不限于测试报告、官网和功能截图等）</w:t>
            </w:r>
            <w:r>
              <w:br/>
            </w:r>
            <w:r>
              <w:rPr/>
              <w:t xml:space="preserve"> 10.教学系统内置图片处理功能，无需借助专业图片处理软件即可对课件内的图片进行快速抠图，图片主体处理后边缘无明显毛边，且处理后的图片可直接上传至教师云空间供后续复用。</w:t>
            </w:r>
            <w:r>
              <w:br/>
            </w:r>
            <w:r>
              <w:rPr/>
              <w:t xml:space="preserve"> 11.支持对音频、视频文件进行关键帧标记，可在音、视频进度条任意位置自由设置关键帧播放节点，便于快速定位讲解关键教学内容。</w:t>
            </w:r>
            <w:r>
              <w:br/>
            </w:r>
            <w:r>
              <w:rPr/>
              <w:t xml:space="preserve"> 12.具备交互表格功能，课件可自由插入表格，预置不少于5种表格样式，支持边框、底纹设置，自由合并单元格；表格支持自由输入文本，且根据文本内容可一键自动调整行列宽高；表格通过表格首行首列交接处的按键可一键精准增加行列；具备遮罩功能，表格中任一单元格可添加遮罩掩盖单元格内容，授课模式点击即可取消遮罩，便于教师交互式教学</w:t>
            </w:r>
            <w:r>
              <w:br/>
            </w:r>
            <w:r>
              <w:rPr/>
              <w:t xml:space="preserve"> 13.提供柱状图、扇形图、折线图等互动图表，每类图表预置不少于5种样式，支持图表文字、背景、透明度设置；柱状图、折线图可一键转置互换坐标轴类别；图表支持三维模式旋转展示，生动形象。</w:t>
            </w:r>
            <w:r>
              <w:br/>
            </w:r>
            <w:r>
              <w:rPr/>
              <w:t xml:space="preserve"> 数学工具</w:t>
            </w:r>
            <w:r>
              <w:br/>
            </w:r>
            <w:r>
              <w:rPr/>
              <w:t xml:space="preserve"> 16.提供至少30种应用于文本、形状、图片等课件元素的触发动画，可对动画的设置触发条件、动画声效、动画时长、动画延迟和动画方向进行自定义设置。</w:t>
            </w:r>
            <w:r>
              <w:br/>
            </w:r>
            <w:r>
              <w:rPr/>
              <w:t xml:space="preserve"> 19.支持将音频文件嵌入课件，提供单次播放、循环播放、跨页面播放和自动播放等播放模式。跨页面播放可设置音频进行部分页面播放和全页面播放。提供页面备注功能，可一键展开/隐藏备注。方便教师备课过程中记录教学研究思路用于教学反思。</w:t>
            </w:r>
            <w:r>
              <w:br/>
            </w:r>
            <w:r>
              <w:rPr/>
              <w:t xml:space="preserve"> 17.备课模式下界面工具菜单支持自定义设置，教师可增减符合自身备课习惯的学科工具，自设工具菜单与教师云空间账号绑定，在任意终端登录教师账号备课自动同步备课工具菜单。</w:t>
            </w:r>
            <w:r>
              <w:br/>
            </w:r>
            <w:r>
              <w:rPr/>
              <w:t xml:space="preserve"> 18.互动分类游戏：支持创建互动分类游戏，可自定义不同类别及相对应对象，将不同对象拖拽到对应类别容器中系统自动辨识分类，分类正误均有相应提示；竞争模式下可记录不同操作者的动作和用时并自动排名。类别和对象的样式、数量均支持自定义修改。系统需提供不少于10种游戏模板，直接选择并输入相应内容即可轻松生成互动分类游戏，提升课堂趣味性。</w:t>
            </w:r>
            <w:r>
              <w:br/>
            </w:r>
            <w:r>
              <w:rPr/>
              <w:t xml:space="preserve"> 19.分组竞争游戏：支持创建分组竞争游戏，教师可设置正确项／干扰项，让两组学生开展竞争游戏。提供不少于3种难度、10种游戏模版供选择，且模版样式支持自定义修改。</w:t>
            </w:r>
            <w:r>
              <w:br/>
            </w:r>
            <w:r>
              <w:rPr/>
              <w:t xml:space="preserve"> 20.学科思维导图：内嵌学科思维导图功能，提供思维导图、鱼骨图及组织结构图等知识结构化工具，提供不少于5种预设模板，可自由增删或拖拽编辑知识节点，并支持在节点上插入图片、音频、视频、网页链接、课件页面等教学知识内容，便于建构知识结构；学科思维导图知识点可逐级、逐个展开，导图工具具备归纳总结功能，可将相邻知识节点一键快速归纳，并添加文本、图片、音频、视频等辅助讲解，进行知识点关联发散。思维导图支持自定义连接线、节点样式。</w:t>
            </w:r>
            <w:r>
              <w:br/>
            </w:r>
            <w:r>
              <w:rPr/>
              <w:t xml:space="preserve"> 22.音乐工具：提供钢琴琴键的展示形式，便于老师使用。支持点击琴键进行乐曲弹奏，同时支持延音、刮键等效果呈现。弹奏时支持实时显示对应的五线谱及简谱音符，有助于学生了解学习。支持对弹奏的音乐进行录音，并在录音回播时支持实时显示琴键弹奏的过程及对应的音符，方便老师进行教学，巩固知识点。</w:t>
            </w:r>
          </w:p>
          <w:p>
            <w:pPr>
              <w:pStyle w:val="null3"/>
            </w:pPr>
            <w:r>
              <w:rPr/>
              <w:t>移动支架：1.移动支架通过防倾斜实验，正负10度倾斜角度下不能翻倒；</w:t>
            </w:r>
            <w:r>
              <w:br/>
            </w:r>
            <w:r>
              <w:rPr/>
              <w:t xml:space="preserve"> 2.承挂≥100kg，壁挂高度可调；整体高度≥1597mm；</w:t>
            </w:r>
            <w:r>
              <w:br/>
            </w:r>
            <w:r>
              <w:rPr/>
              <w:t xml:space="preserve"> 3.托盘承重25KG,模具设置U型置物槽，方便触摸笔、遥控器等物品放置；</w:t>
            </w:r>
            <w:r>
              <w:br/>
            </w:r>
            <w:r>
              <w:rPr/>
              <w:t xml:space="preserve"> 4.支撑立杆采用壁厚≥1.8mm方通冷轧钢材质，表面黑色喷涂；</w:t>
            </w:r>
            <w:r>
              <w:br/>
            </w:r>
            <w:r>
              <w:rPr/>
              <w:t xml:space="preserve"> 5.脚轮为万向轮，聚氨酯（PU）材质，均带脚刹，直径不小于∮75mm；</w:t>
            </w:r>
            <w:r>
              <w:br/>
            </w:r>
            <w:r>
              <w:rPr/>
              <w:t xml:space="preserve"> 脚轮中心距横向≥1115mm，纵向≥627mm</w:t>
            </w:r>
          </w:p>
        </w:tc>
      </w:tr>
    </w:tbl>
    <w:p>
      <w:pPr>
        <w:pStyle w:val="null3"/>
      </w:pPr>
      <w:r>
        <w:rPr/>
        <w:t>标的名称：台式电脑</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t>国产自主品牌，在最新一期信创产品</w:t>
            </w:r>
            <w:r>
              <w:br/>
            </w:r>
            <w:r>
              <w:rPr/>
              <w:t xml:space="preserve"> 处理器：国产兆芯（ZX-E）KX-U6780A处理器，核数≥8核，主频≥2.7GHz,TDP功耗≤70W。</w:t>
            </w:r>
            <w:r>
              <w:br/>
            </w:r>
            <w:r>
              <w:rPr/>
              <w:t xml:space="preserve"> 内存：配置≥16GB DDR4内存，配置≥2个内存插槽，支持内存扩展</w:t>
            </w:r>
            <w:r>
              <w:br/>
            </w:r>
            <w:r>
              <w:rPr/>
              <w:t xml:space="preserve"> 显卡：标配2G独立显卡；</w:t>
            </w:r>
            <w:r>
              <w:br/>
            </w:r>
            <w:r>
              <w:rPr/>
              <w:t xml:space="preserve"> 硬盘：≥512GB M.2接口NVME协议SSD，最高可支持1TB SSD，最大支持2块3.5英寸机械硬盘扩展；</w:t>
            </w:r>
            <w:r>
              <w:br/>
            </w:r>
            <w:r>
              <w:rPr/>
              <w:t xml:space="preserve"> 光驱：选配Slim DVD RW刻录光驱；</w:t>
            </w:r>
            <w:r>
              <w:br/>
            </w:r>
            <w:r>
              <w:rPr/>
              <w:t xml:space="preserve"> 电源：电源功率≤180W，电源通过80PLUS认证；要求提供计算机生产厂家的规格说明文件。</w:t>
            </w:r>
            <w:r>
              <w:br/>
            </w:r>
            <w:r>
              <w:rPr/>
              <w:t xml:space="preserve"> 操作系统：支持银河麒麟、统信UOS等国产操作系统</w:t>
            </w:r>
            <w:r>
              <w:br/>
            </w:r>
            <w:r>
              <w:rPr/>
              <w:t xml:space="preserve"> 显示器：配置≥23.8寸LED显示器，与主机同品牌，分辨率≥1920*1080，刷新频率≥75Hz，对比度≥3000:1，视频接口VGA+HDMI；</w:t>
            </w:r>
          </w:p>
          <w:p>
            <w:pPr>
              <w:pStyle w:val="null3"/>
            </w:pPr>
            <w:r>
              <w:rPr/>
              <w:t>麒麟系统、360杀毒、WPS（1年版厂家技术服务、注册后终身使用）</w:t>
            </w:r>
          </w:p>
        </w:tc>
      </w:tr>
    </w:tbl>
    <w:p>
      <w:pPr>
        <w:pStyle w:val="null3"/>
      </w:pPr>
      <w:r>
        <w:rPr/>
        <w:t>标的名称：笔记本电脑</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t>处理器:采用国产兆芯处理器，核心数≥4核，主频≥3.0GHz。</w:t>
            </w:r>
            <w:r>
              <w:br/>
            </w:r>
            <w:r>
              <w:rPr/>
              <w:t xml:space="preserve"> 内存:容量≥8GB，DDR4，内存插槽≥2个，最高可支持内存≥32GB 。</w:t>
            </w:r>
            <w:r>
              <w:br/>
            </w:r>
            <w:r>
              <w:rPr/>
              <w:t xml:space="preserve"> 显卡:集成显卡</w:t>
            </w:r>
            <w:r>
              <w:br/>
            </w:r>
            <w:r>
              <w:rPr/>
              <w:t xml:space="preserve"> 硬盘:配置≥512GB M.2 NVMe SSD硬盘，支持容量扩展。</w:t>
            </w:r>
            <w:r>
              <w:br/>
            </w:r>
            <w:r>
              <w:rPr/>
              <w:t xml:space="preserve"> 接口:USB3.0接口≥2个，USB-C接口≥2个，标准RJ45网口≥1个，HDMI接口≥1个</w:t>
            </w:r>
            <w:r>
              <w:br/>
            </w:r>
            <w:r>
              <w:rPr/>
              <w:t xml:space="preserve"> 屏幕:≥14英寸, 分辨率1920*1080，支持≥180°开合。</w:t>
            </w:r>
            <w:r>
              <w:br/>
            </w:r>
            <w:r>
              <w:rPr/>
              <w:t xml:space="preserve"> 电池:电池容量≥60WH，适配器功率≥65W，适配器输出接口形态Type-C。</w:t>
            </w:r>
            <w:r>
              <w:br/>
            </w:r>
            <w:r>
              <w:rPr/>
              <w:t xml:space="preserve"> 无线网络:支持WiFi 6 并向下兼容， 支持蓝牙5.0及以上。</w:t>
            </w:r>
            <w:r>
              <w:br/>
            </w:r>
            <w:r>
              <w:rPr/>
              <w:t xml:space="preserve"> 摄像头:720P分辨率，具备物理滑盖，可物理遮挡保护隐私。</w:t>
            </w:r>
            <w:r>
              <w:br/>
            </w:r>
            <w:r>
              <w:rPr/>
              <w:t xml:space="preserve"> 操作系统:支持银河麒麟、统信UOS等国产操作系统</w:t>
            </w:r>
          </w:p>
        </w:tc>
      </w:tr>
    </w:tbl>
    <w:p>
      <w:pPr>
        <w:pStyle w:val="null3"/>
      </w:pPr>
      <w:r>
        <w:rPr/>
        <w:t>标的名称：系统办公软件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t>麒麟系统、360杀毒、WPS（1年版厂家技术服务、注册后终身使用）</w:t>
            </w:r>
          </w:p>
        </w:tc>
      </w:tr>
    </w:tbl>
    <w:p>
      <w:pPr>
        <w:pStyle w:val="null3"/>
      </w:pPr>
      <w:r>
        <w:rPr/>
        <w:t>标的名称：直饮机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t>1.功率：4.5KW  电源：380V 50HZ</w:t>
            </w:r>
            <w:r>
              <w:br/>
            </w:r>
            <w:r>
              <w:rPr/>
              <w:t xml:space="preserve"> 2.龙头个数：一开三温</w:t>
            </w:r>
            <w:r>
              <w:br/>
            </w:r>
            <w:r>
              <w:rPr/>
              <w:t xml:space="preserve"> 3.水胆容量：30升；</w:t>
            </w:r>
            <w:r>
              <w:br/>
            </w:r>
            <w:r>
              <w:rPr/>
              <w:t xml:space="preserve"> 4.供水量：开水60L/H，温开水140L/H;</w:t>
            </w:r>
            <w:r>
              <w:br/>
            </w:r>
            <w:r>
              <w:rPr/>
              <w:t xml:space="preserve"> 5.外形尺寸（cm）：110*45*148（偏差±2%），</w:t>
            </w:r>
            <w:r>
              <w:br/>
            </w:r>
            <w:r>
              <w:rPr/>
              <w:t xml:space="preserve"> 6.产品材质：水槽采用304不锈钢，厚度0.8mm；门板采用201优质不锈钢，厚度0.6mm；水胆采用304不锈钢，厚度1.0mm；（需提供以上部件第三方材质检验报告，提供水胆涉及饮用水卫生安全产品许可批件，要求委托单位为所投设备制造商）</w:t>
            </w:r>
            <w:r>
              <w:br/>
            </w:r>
            <w:r>
              <w:rPr/>
              <w:t xml:space="preserve"> 7.内胆和加热体部分均采用食品级金属不锈钢；</w:t>
            </w:r>
            <w:r>
              <w:br/>
            </w:r>
            <w:r>
              <w:rPr/>
              <w:t xml:space="preserve"> 8.机器带有高温物理一键消毒系统，解决细菌超标问题，确保饮水安全。</w:t>
            </w:r>
            <w:r>
              <w:br/>
            </w:r>
            <w:r>
              <w:rPr/>
              <w:t xml:space="preserve"> 9.触摸式按键出水，防止忘关水龙头，设计120S后水龙头自动关闭，如果取水不够再按键一次。</w:t>
            </w:r>
            <w:r>
              <w:br/>
            </w:r>
            <w:r>
              <w:rPr/>
              <w:t xml:space="preserve"> 10具有智能水控系统水不开,则无水流出，避免饮用生水;</w:t>
            </w:r>
            <w:r>
              <w:br/>
            </w:r>
            <w:r>
              <w:rPr/>
              <w:t xml:space="preserve"> 11.智能定时、自带遥控、自动消毒、隔夜排空。</w:t>
            </w:r>
            <w:r>
              <w:br/>
            </w:r>
            <w:r>
              <w:rPr/>
              <w:t xml:space="preserve"> 12.全圆弧无尖角设计;防漏电低压12伏设计;制作完全符合CQC质量安全认证要求;</w:t>
            </w:r>
            <w:r>
              <w:br/>
            </w:r>
            <w:r>
              <w:rPr/>
              <w:t xml:space="preserve"> 13.节能技术：采用饮水机用高效热交换器技术，内外管均采用304不锈钢波纹管，高效节能，水温调控不得采用原水或经过净化的原水和开水直接混合方式。（提供节能产品认证证书）</w:t>
            </w:r>
            <w:r>
              <w:br/>
            </w:r>
            <w:r>
              <w:rPr/>
              <w:t xml:space="preserve"> 14.设有液晶中文显示屏，显示包含但不限于以下内容：温度、时间、饮水机运行技术参数、故障代码或中文报警显示；</w:t>
            </w:r>
            <w:r>
              <w:br/>
            </w:r>
            <w:r>
              <w:rPr/>
              <w:t xml:space="preserve"> 15.采用水电联动阀技术：打开龙头时，水路和电路控制系统同步，该技术使内胆承受压强和冲击力大大降低，增加内胆使用寿命（提供水电联动无压饮水机证书）。</w:t>
            </w:r>
            <w:r>
              <w:br/>
            </w:r>
            <w:r>
              <w:rPr/>
              <w:t xml:space="preserve"> 16.可防爆、防触电、防渗漏、防干烧、防缺水、防超温、防火、防蒸汽，安全可靠；防触电保护I类，外壳防护等级IP44。</w:t>
            </w:r>
            <w:r>
              <w:br/>
            </w:r>
            <w:r>
              <w:rPr/>
              <w:t xml:space="preserve"> 二、净水设备模块</w:t>
            </w:r>
            <w:r>
              <w:br/>
            </w:r>
            <w:r>
              <w:rPr/>
              <w:t xml:space="preserve"> 1、反渗透过滤模块：PP棉+颗粒活性炭+活性炭炭棒+400G反渗透膜+炭棒+内置50L储水桶，出水水质符合《生活饮用水水质处理器卫生安全与功能评价规范--反渗透处理装置》（2001），（提供整机涉及饮用水卫生安全产品卫生许可批件，须对应所投型号、加热内胆容量及储水桶容量）</w:t>
            </w:r>
            <w:r>
              <w:br/>
            </w:r>
            <w:r>
              <w:rPr/>
              <w:t xml:space="preserve"> 2、100%采用原厂匹配滤芯，（提供饮水机生产厂家的各级滤芯检测报告）</w:t>
            </w:r>
            <w:r>
              <w:br/>
            </w:r>
            <w:r>
              <w:rPr/>
              <w:t xml:space="preserve">   过滤性能：总流量≥5500L；（提供整机涉及饮用水卫生安全产品卫生许可批件，须对应所投型号的额定总净水量）</w:t>
            </w:r>
            <w:r>
              <w:br/>
            </w:r>
            <w:r>
              <w:rPr/>
              <w:t xml:space="preserve">   节水性能：产品通过中国水效等级1级认证，具有中国节水产品认证证书；</w:t>
            </w:r>
            <w:r>
              <w:br/>
            </w:r>
            <w:r>
              <w:rPr/>
              <w:t xml:space="preserve">   食品卫生标准：整机符合GB4806.7-2016、GB4806.9-2016、GB4806.11-2016要求保证出水安全；</w:t>
            </w:r>
            <w:r>
              <w:br/>
            </w:r>
            <w:r>
              <w:rPr/>
              <w:t xml:space="preserve">  食品卫生标准：饮水机加热内胆符合产品标准和技术要求 BG4806.9-2016</w:t>
            </w:r>
          </w:p>
        </w:tc>
      </w:tr>
    </w:tbl>
    <w:p>
      <w:pPr>
        <w:pStyle w:val="null3"/>
      </w:pPr>
      <w:r>
        <w:rPr/>
        <w:t>标的名称：摄像机枪机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t>400万全彩，• 2560 × 1440  H.265, Smart265，智能报警: 越界侦测, 区域入侵侦测，背光补偿, 3D 数字降噪，120 dB 宽动态，萤石云平台接入，柔光灯补光, 最远可达30 m，POE供电</w:t>
            </w:r>
          </w:p>
        </w:tc>
      </w:tr>
    </w:tbl>
    <w:p>
      <w:pPr>
        <w:pStyle w:val="null3"/>
      </w:pPr>
      <w:r>
        <w:rPr/>
        <w:t>标的名称：摄像机半球</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t>400万全彩，• 2560 × 1440  H.265, Smart265，智能报警: 越界侦测, 区域入侵侦测，背光补偿, 3D 数字降噪，120 dB 宽动态，萤石云平台接入，柔光灯补光, 最远可达30 m，POE供电</w:t>
            </w:r>
          </w:p>
        </w:tc>
      </w:tr>
    </w:tbl>
    <w:p>
      <w:pPr>
        <w:pStyle w:val="null3"/>
      </w:pPr>
      <w:r>
        <w:rPr/>
        <w:t>标的名称：球机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t>白光全彩、400万像素、智能人脸抓拍、一对音频输入输出、双光补光，支持两种智能资源切换：人脸抓拍、 smart 事件，支持人脸抓拍：支持对运动人脸进行检测、抓拍、评分、筛选，输出最，优的人脸抓图，最多同时检测 5 张人脸；支持最大 256G 的 Micro SD/Micro SDHC/Micro SDXC 卡、 NAS 存储，内置，支持 23 倍光学变倍， 16 倍数字变倍，采用可见光补光 30m，同时高效红外阵列，低功耗，照射距离最远可达150m</w:t>
            </w:r>
          </w:p>
        </w:tc>
      </w:tr>
    </w:tbl>
    <w:p>
      <w:pPr>
        <w:pStyle w:val="null3"/>
      </w:pPr>
      <w:r>
        <w:rPr/>
        <w:t>标的名称：球机支架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t>/</w:t>
            </w:r>
          </w:p>
        </w:tc>
      </w:tr>
    </w:tbl>
    <w:p>
      <w:pPr>
        <w:pStyle w:val="null3"/>
      </w:pPr>
      <w:r>
        <w:rPr/>
        <w:t>标的名称：枪机专用支架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t>/</w:t>
            </w:r>
          </w:p>
        </w:tc>
      </w:tr>
    </w:tbl>
    <w:p>
      <w:pPr>
        <w:pStyle w:val="null3"/>
      </w:pPr>
      <w:r>
        <w:rPr/>
        <w:t>标的名称：POE 8口交换机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t>/</w:t>
            </w:r>
          </w:p>
        </w:tc>
      </w:tr>
    </w:tbl>
    <w:p>
      <w:pPr>
        <w:pStyle w:val="null3"/>
      </w:pPr>
      <w:r>
        <w:rPr/>
        <w:t>标的名称：超五类监控专用网线</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t>/</w:t>
            </w:r>
          </w:p>
        </w:tc>
      </w:tr>
    </w:tbl>
    <w:p>
      <w:pPr>
        <w:pStyle w:val="null3"/>
      </w:pPr>
      <w:r>
        <w:rPr/>
        <w:t>标的名称：2*0.75专用电源线</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t>/</w:t>
            </w:r>
          </w:p>
        </w:tc>
      </w:tr>
    </w:tbl>
    <w:p>
      <w:pPr>
        <w:pStyle w:val="null3"/>
      </w:pPr>
      <w:r>
        <w:rPr/>
        <w:t>标的名称：录像机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t>2U 标准机箱，支持机架安装；</w:t>
            </w:r>
            <w:r>
              <w:br/>
            </w:r>
            <w:r>
              <w:rPr/>
              <w:t xml:space="preserve"> 8盘位，最大支持8TB硬盘</w:t>
            </w:r>
            <w:r>
              <w:br/>
            </w:r>
            <w:r>
              <w:rPr/>
              <w:t xml:space="preserve"> 支持1个HDMI 4K输出 +1个VGA异源高清1080P输出</w:t>
            </w:r>
            <w:r>
              <w:br/>
            </w:r>
            <w:r>
              <w:rPr/>
              <w:t xml:space="preserve"> 支持8路1080P解码</w:t>
            </w:r>
            <w:r>
              <w:br/>
            </w:r>
            <w:r>
              <w:rPr/>
              <w:t xml:space="preserve"> 支持H.265、H.264混合解码，最大支持接入8MP高清IPC</w:t>
            </w:r>
            <w:r>
              <w:br/>
            </w:r>
            <w:r>
              <w:rPr/>
              <w:t xml:space="preserve"> 2个千兆网口</w:t>
            </w:r>
            <w:r>
              <w:br/>
            </w:r>
            <w:r>
              <w:rPr/>
              <w:t xml:space="preserve"> 自带16进4出报警口</w:t>
            </w:r>
            <w:r>
              <w:br/>
            </w:r>
            <w:r>
              <w:rPr/>
              <w:t xml:space="preserve"> 2个USB2.0接口+1个USB3.0接口</w:t>
            </w:r>
          </w:p>
        </w:tc>
      </w:tr>
    </w:tbl>
    <w:p>
      <w:pPr>
        <w:pStyle w:val="null3"/>
      </w:pPr>
      <w:r>
        <w:rPr/>
        <w:t>标的名称：监控监视器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t xml:space="preserve"> 支持3840*2160@60Hz超高清显示 采用超宽视角屏幕（上下左右）178°</w:t>
            </w:r>
            <w:r>
              <w:br/>
            </w:r>
            <w:r>
              <w:rPr/>
              <w:t xml:space="preserve"> 3D数字图象降噪处理技术，画质更真实更清晰</w:t>
            </w:r>
            <w:r>
              <w:br/>
            </w:r>
            <w:r>
              <w:rPr/>
              <w:t xml:space="preserve"> 内置喇叭及功放，支持3.5 mm音频输出</w:t>
            </w:r>
            <w:r>
              <w:br/>
            </w:r>
            <w:r>
              <w:rPr/>
              <w:t xml:space="preserve"> 支持U盘点播，含文本、图片、音频、视频等多种格式多媒体播放</w:t>
            </w:r>
          </w:p>
        </w:tc>
      </w:tr>
    </w:tbl>
    <w:p>
      <w:pPr>
        <w:pStyle w:val="null3"/>
      </w:pPr>
      <w:r>
        <w:rPr/>
        <w:t>标的名称：线管线材</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t>/</w:t>
            </w:r>
          </w:p>
        </w:tc>
      </w:tr>
    </w:tbl>
    <w:p>
      <w:pPr>
        <w:pStyle w:val="null3"/>
      </w:pPr>
      <w:r>
        <w:rPr/>
        <w:t>标的名称：监控级、6TB专用存储硬盘</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t>/</w:t>
            </w:r>
          </w:p>
        </w:tc>
      </w:tr>
    </w:tbl>
    <w:p>
      <w:pPr>
        <w:pStyle w:val="null3"/>
      </w:pPr>
      <w:r>
        <w:rPr/>
        <w:t>标的名称：安装调试</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t>/</w:t>
            </w:r>
          </w:p>
        </w:tc>
      </w:tr>
    </w:tbl>
    <w:p>
      <w:pPr>
        <w:pStyle w:val="null3"/>
      </w:pPr>
      <w:r>
        <w:rPr/>
        <w:t>标的名称：LED拼接屏</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t>55寸3.5mm拼接显示单元（海康橙科DS-VW55E35T ）显示尺寸: 55inch</w:t>
            </w:r>
            <w:r>
              <w:br/>
            </w:r>
            <w:r>
              <w:rPr/>
              <w:t xml:space="preserve"> 正品京东方A+级DID液晶面板，工业级超窄边液晶拼接单元</w:t>
            </w:r>
            <w:r>
              <w:br/>
            </w:r>
            <w:r>
              <w:rPr/>
              <w:t xml:space="preserve"> 单元尺寸：1213.4mm×684.2mm</w:t>
            </w:r>
            <w:r>
              <w:br/>
            </w:r>
            <w:r>
              <w:rPr/>
              <w:t xml:space="preserve"> 对比度：1200:1</w:t>
            </w:r>
            <w:r>
              <w:br/>
            </w:r>
            <w:r>
              <w:rPr/>
              <w:t xml:space="preserve"> 亮度：≥500cd/m2 ；LED背光（直下式）</w:t>
            </w:r>
            <w:r>
              <w:br/>
            </w:r>
            <w:r>
              <w:rPr/>
              <w:t xml:space="preserve"> 拼接缝隙：物理拼缝≤3.5mm </w:t>
            </w:r>
            <w:r>
              <w:br/>
            </w:r>
            <w:r>
              <w:rPr/>
              <w:t xml:space="preserve"> 最佳分辨率1920*1080；</w:t>
            </w:r>
            <w:r>
              <w:br/>
            </w:r>
            <w:r>
              <w:rPr/>
              <w:t xml:space="preserve"> 显示色彩：全彩16.7M色</w:t>
            </w:r>
            <w:r>
              <w:br/>
            </w:r>
            <w:r>
              <w:rPr/>
              <w:t xml:space="preserve"> 可视角度：178°</w:t>
            </w:r>
            <w:r>
              <w:br/>
            </w:r>
            <w:r>
              <w:rPr/>
              <w:t xml:space="preserve"> 响应时间：8ms</w:t>
            </w:r>
            <w:r>
              <w:br/>
            </w:r>
            <w:r>
              <w:rPr/>
              <w:t xml:space="preserve"> 24小时连续运行，具有先进性、稳定性和可扩充性</w:t>
            </w:r>
            <w:r>
              <w:br/>
            </w:r>
            <w:r>
              <w:rPr/>
              <w:t xml:space="preserve"> 使用寿命：60000小时以上（7*24 h）</w:t>
            </w:r>
          </w:p>
        </w:tc>
      </w:tr>
    </w:tbl>
    <w:p>
      <w:pPr>
        <w:pStyle w:val="null3"/>
      </w:pPr>
      <w:r>
        <w:rPr/>
        <w:t>标的名称：监控专用监视器移动支架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t>/</w:t>
            </w:r>
          </w:p>
        </w:tc>
      </w:tr>
    </w:tbl>
    <w:p>
      <w:pPr>
        <w:pStyle w:val="null3"/>
      </w:pPr>
      <w:r>
        <w:rPr/>
        <w:t>标的名称：手机支架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t>手机自拍杆三脚架1.5米全金属</w:t>
            </w:r>
          </w:p>
        </w:tc>
      </w:tr>
    </w:tbl>
    <w:p>
      <w:pPr>
        <w:pStyle w:val="null3"/>
      </w:pPr>
      <w:r>
        <w:rPr/>
        <w:t>标的名称：额温枪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t>医用体温枪、额温枪电子温度计</w:t>
            </w:r>
          </w:p>
        </w:tc>
      </w:tr>
    </w:tbl>
    <w:p>
      <w:pPr>
        <w:pStyle w:val="null3"/>
        <w:outlineLvl w:val="2"/>
      </w:pPr>
      <w:r>
        <w:rPr>
          <w:sz w:val="28"/>
          <w:b/>
        </w:rPr>
        <w:t>3.4商务要求</w:t>
      </w:r>
    </w:p>
    <w:p>
      <w:pPr>
        <w:pStyle w:val="null3"/>
        <w:outlineLvl w:val="3"/>
      </w:pPr>
      <w:r>
        <w:rPr>
          <w:sz w:val="24"/>
          <w:b/>
        </w:rPr>
        <w:t xml:space="preserve"> 3.4.1交货时间</w:t>
      </w:r>
    </w:p>
    <w:p>
      <w:pPr>
        <w:pStyle w:val="null3"/>
      </w:pPr>
      <w:r>
        <w:rPr/>
        <w:t>采购包1：</w:t>
      </w:r>
    </w:p>
    <w:p>
      <w:pPr>
        <w:pStyle w:val="null3"/>
      </w:pPr>
      <w:r>
        <w:rPr/>
        <w:t>自合同签订生效之日起30个日历天完成供货、安装、调试。</w:t>
      </w:r>
    </w:p>
    <w:p>
      <w:pPr>
        <w:pStyle w:val="null3"/>
        <w:outlineLvl w:val="3"/>
      </w:pPr>
      <w:r>
        <w:rPr>
          <w:sz w:val="24"/>
          <w:b/>
        </w:rPr>
        <w:t>3.4.2交货地点</w:t>
      </w:r>
    </w:p>
    <w:p>
      <w:pPr>
        <w:pStyle w:val="null3"/>
      </w:pPr>
      <w:r>
        <w:rPr/>
        <w:t>采购包1：</w:t>
      </w:r>
    </w:p>
    <w:p>
      <w:pPr>
        <w:pStyle w:val="null3"/>
      </w:pPr>
      <w:r>
        <w:rPr/>
        <w:t>铜川市城关幼儿园</w:t>
      </w:r>
    </w:p>
    <w:p>
      <w:pPr>
        <w:pStyle w:val="null3"/>
        <w:outlineLvl w:val="3"/>
      </w:pPr>
      <w:r>
        <w:rPr>
          <w:sz w:val="24"/>
          <w:b/>
        </w:rPr>
        <w:t>3.4.3支付方式</w:t>
      </w:r>
    </w:p>
    <w:p>
      <w:pPr>
        <w:pStyle w:val="null3"/>
      </w:pPr>
      <w:r>
        <w:rPr/>
        <w:t>采购包1：</w:t>
      </w:r>
    </w:p>
    <w:p>
      <w:pPr>
        <w:pStyle w:val="null3"/>
      </w:pPr>
      <w:r>
        <w:rPr/>
        <w:t>分期付款</w:t>
      </w:r>
    </w:p>
    <w:p>
      <w:pPr>
        <w:pStyle w:val="null3"/>
        <w:outlineLvl w:val="3"/>
      </w:pPr>
      <w:r>
        <w:rPr>
          <w:sz w:val="24"/>
          <w:b/>
        </w:rPr>
        <w:t>3.4.4支付约定</w:t>
      </w:r>
    </w:p>
    <w:p>
      <w:pPr>
        <w:pStyle w:val="null3"/>
      </w:pPr>
      <w:r>
        <w:rPr/>
        <w:t>采购包1：</w:t>
      </w:r>
      <w:r>
        <w:rPr/>
        <w:t xml:space="preserve"> 付款条件说明： </w:t>
      </w:r>
      <w:r>
        <w:rPr/>
        <w:t>合同签订后</w:t>
      </w:r>
      <w:r>
        <w:rPr/>
        <w:t xml:space="preserve"> ，达到付款条件起 </w:t>
      </w:r>
      <w:r>
        <w:rPr/>
        <w:t>3</w:t>
      </w:r>
      <w:r>
        <w:rPr/>
        <w:t xml:space="preserve"> 日内，支付合同总金额的 </w:t>
      </w:r>
      <w:r>
        <w:rPr/>
        <w:t>30.00</w:t>
      </w:r>
      <w:r>
        <w:rPr/>
        <w:t>%。</w:t>
      </w:r>
    </w:p>
    <w:p>
      <w:pPr>
        <w:pStyle w:val="null3"/>
      </w:pPr>
      <w:r>
        <w:rPr/>
        <w:t>采购包1：</w:t>
      </w:r>
      <w:r>
        <w:rPr/>
        <w:t xml:space="preserve"> 付款条件说明： </w:t>
      </w:r>
      <w:r>
        <w:rPr/>
        <w:t>验收合格后</w:t>
      </w:r>
      <w:r>
        <w:rPr/>
        <w:t xml:space="preserve"> ，达到付款条件起 </w:t>
      </w:r>
      <w:r>
        <w:rPr/>
        <w:t>3</w:t>
      </w:r>
      <w:r>
        <w:rPr/>
        <w:t xml:space="preserve"> 日内，支付合同总金额的 </w:t>
      </w:r>
      <w:r>
        <w:rPr/>
        <w:t>70.00</w:t>
      </w:r>
      <w:r>
        <w:rPr/>
        <w:t>%。</w:t>
      </w:r>
    </w:p>
    <w:p>
      <w:pPr>
        <w:pStyle w:val="null3"/>
        <w:outlineLvl w:val="3"/>
      </w:pPr>
      <w:r>
        <w:rPr>
          <w:sz w:val="24"/>
          <w:b/>
        </w:rPr>
        <w:t>3.4.5验收标准和方法</w:t>
      </w:r>
    </w:p>
    <w:p>
      <w:pPr>
        <w:pStyle w:val="null3"/>
      </w:pPr>
      <w:r>
        <w:rPr/>
        <w:t>采购包1：</w:t>
      </w:r>
    </w:p>
    <w:p>
      <w:pPr>
        <w:pStyle w:val="null3"/>
      </w:pPr>
      <w:r>
        <w:rPr/>
        <w:t>符合国家相关行业标准</w:t>
      </w:r>
    </w:p>
    <w:p>
      <w:pPr>
        <w:pStyle w:val="null3"/>
        <w:outlineLvl w:val="3"/>
      </w:pPr>
      <w:r>
        <w:rPr>
          <w:sz w:val="24"/>
          <w:b/>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sz w:val="24"/>
          <w:b/>
        </w:rPr>
        <w:t>3.4.7质量保修范围和保修期</w:t>
      </w:r>
    </w:p>
    <w:p>
      <w:pPr>
        <w:pStyle w:val="null3"/>
      </w:pPr>
      <w:r>
        <w:rPr/>
        <w:t>采购包1：</w:t>
      </w:r>
    </w:p>
    <w:p>
      <w:pPr>
        <w:pStyle w:val="null3"/>
      </w:pPr>
      <w:r>
        <w:rPr/>
        <w:t>1、质保期一年。参数中有具体要求的，按参数要求提供质保。中标人承诺的质保时间超过招标文件要求的，按其承诺时间质保。 2、中标人承诺的质保期起始时间为终验合格之日。 3、所有货物质量必须符合国家有关规范和相关政策。所有设备及辅材必须是未使用的，质量优良、渠道正当，配置合理。 4、质保期出现的质量问题由中标人负责解决并承担所有费用。质保期后如需更换零部件，中标人应以优惠价提供。</w:t>
      </w:r>
    </w:p>
    <w:p>
      <w:pPr>
        <w:pStyle w:val="null3"/>
        <w:outlineLvl w:val="3"/>
      </w:pPr>
      <w:r>
        <w:rPr>
          <w:sz w:val="24"/>
          <w:b/>
        </w:rPr>
        <w:t>3.4.8违约责任与解决争议的方法</w:t>
      </w:r>
    </w:p>
    <w:p>
      <w:pPr>
        <w:pStyle w:val="null3"/>
      </w:pPr>
      <w:r>
        <w:rPr/>
        <w:t>采购包1：</w:t>
      </w:r>
    </w:p>
    <w:p>
      <w:pPr>
        <w:pStyle w:val="null3"/>
      </w:pPr>
      <w:r>
        <w:rPr/>
        <w:t>1、按《中华人民共和国民法典》中的相关条款执行。 2、未按要求提供产品质量不能满足技术要求，采购人有权终止合同，并对供方违约行为进行追究，同时按《中华人民共和国政府采购法》的有关规定进行处罚。</w:t>
      </w:r>
    </w:p>
    <w:p>
      <w:pPr>
        <w:pStyle w:val="null3"/>
        <w:jc w:val="left"/>
        <w:outlineLvl w:val="2"/>
      </w:pPr>
      <w:r>
        <w:rPr>
          <w:sz w:val="28"/>
          <w:b/>
        </w:rPr>
        <w:t>3.5其他要求</w:t>
      </w:r>
    </w:p>
    <w:p>
      <w:pPr>
        <w:pStyle w:val="null3"/>
      </w:pPr>
      <w:r>
        <w:rPr/>
        <w:t>/</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t>资格审查标准及要求如下：</w:t>
      </w:r>
    </w:p>
    <w:p>
      <w:pPr>
        <w:pStyle w:val="null3"/>
        <w:outlineLvl w:val="2"/>
      </w:pPr>
      <w:r>
        <w:rPr>
          <w:sz w:val="28"/>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投标人应提交的相关资格证明材料</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投标人应提交的相关资格证明材料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w:t>
            </w:r>
          </w:p>
        </w:tc>
      </w:tr>
    </w:tbl>
    <w:p>
      <w:pPr>
        <w:pStyle w:val="null3"/>
        <w:outlineLvl w:val="2"/>
      </w:pPr>
      <w:r>
        <w:rPr>
          <w:sz w:val="28"/>
          <w:b/>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营业执照等主体资格证明文件</w:t>
            </w:r>
          </w:p>
        </w:tc>
        <w:tc>
          <w:tcPr>
            <w:tcW w:type="dxa" w:w="3322"/>
          </w:tcPr>
          <w:p>
            <w:pPr>
              <w:pStyle w:val="null3"/>
            </w:pPr>
            <w:r>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t>投标人应提交的相关资格证明材料</w:t>
            </w:r>
          </w:p>
        </w:tc>
      </w:tr>
      <w:tr>
        <w:tc>
          <w:tcPr>
            <w:tcW w:type="dxa" w:w="831"/>
          </w:tcPr>
          <w:p>
            <w:pPr>
              <w:pStyle w:val="null3"/>
            </w:pPr>
            <w:r>
              <w:rPr/>
              <w:t>2</w:t>
            </w:r>
          </w:p>
        </w:tc>
        <w:tc>
          <w:tcPr>
            <w:tcW w:type="dxa" w:w="2492"/>
          </w:tcPr>
          <w:p>
            <w:pPr>
              <w:pStyle w:val="null3"/>
            </w:pPr>
            <w:r>
              <w:rPr/>
              <w:t>财务状况报告</w:t>
            </w:r>
          </w:p>
        </w:tc>
        <w:tc>
          <w:tcPr>
            <w:tcW w:type="dxa" w:w="3322"/>
          </w:tcPr>
          <w:p>
            <w:pPr>
              <w:pStyle w:val="null3"/>
            </w:pPr>
            <w:r>
              <w:rPr/>
              <w:t>提供2022年度或2023年度经审计的财务会计报告(包括审计报告、资产负债表、利润表、现金流量表、所有者权益变动表及其附注，成立时间至提交投标文件截止时间不足一年的可提供成立后任意时段的资产负债表)，或其开标前三个月内基本开户银行出具的资信证明，或信用担保机构出具的投标担保函(以上三种形式的资料提供任何一种即可)。</w:t>
            </w:r>
          </w:p>
        </w:tc>
        <w:tc>
          <w:tcPr>
            <w:tcW w:type="dxa" w:w="1661"/>
          </w:tcPr>
          <w:p>
            <w:pPr>
              <w:pStyle w:val="null3"/>
            </w:pPr>
            <w:r>
              <w:rPr/>
              <w:t>投标人应提交的相关资格证明材料</w:t>
            </w:r>
          </w:p>
        </w:tc>
      </w:tr>
      <w:tr>
        <w:tc>
          <w:tcPr>
            <w:tcW w:type="dxa" w:w="831"/>
          </w:tcPr>
          <w:p>
            <w:pPr>
              <w:pStyle w:val="null3"/>
            </w:pPr>
            <w:r>
              <w:rPr/>
              <w:t>3</w:t>
            </w:r>
          </w:p>
        </w:tc>
        <w:tc>
          <w:tcPr>
            <w:tcW w:type="dxa" w:w="2492"/>
          </w:tcPr>
          <w:p>
            <w:pPr>
              <w:pStyle w:val="null3"/>
            </w:pPr>
            <w:r>
              <w:rPr/>
              <w:t>税收缴纳证明</w:t>
            </w:r>
          </w:p>
        </w:tc>
        <w:tc>
          <w:tcPr>
            <w:tcW w:type="dxa" w:w="3322"/>
          </w:tcPr>
          <w:p>
            <w:pPr>
              <w:pStyle w:val="null3"/>
            </w:pPr>
            <w:r>
              <w:rPr/>
              <w:t>提交投标文件截止时间前6个月内至少一个月的纳税证明或完税证明，纳税证明或完税证明上应有代收机构或税务机关的公章或业务专用章，依法免税的投标人应提供相应文件证明。</w:t>
            </w:r>
          </w:p>
        </w:tc>
        <w:tc>
          <w:tcPr>
            <w:tcW w:type="dxa" w:w="1661"/>
          </w:tcPr>
          <w:p>
            <w:pPr>
              <w:pStyle w:val="null3"/>
            </w:pPr>
            <w:r>
              <w:rPr/>
              <w:t>投标人应提交的相关资格证明材料</w:t>
            </w:r>
          </w:p>
        </w:tc>
      </w:tr>
      <w:tr>
        <w:tc>
          <w:tcPr>
            <w:tcW w:type="dxa" w:w="831"/>
          </w:tcPr>
          <w:p>
            <w:pPr>
              <w:pStyle w:val="null3"/>
            </w:pPr>
            <w:r>
              <w:rPr/>
              <w:t>4</w:t>
            </w:r>
          </w:p>
        </w:tc>
        <w:tc>
          <w:tcPr>
            <w:tcW w:type="dxa" w:w="2492"/>
          </w:tcPr>
          <w:p>
            <w:pPr>
              <w:pStyle w:val="null3"/>
            </w:pPr>
            <w:r>
              <w:rPr/>
              <w:t>社会保障资金缴纳证明</w:t>
            </w:r>
          </w:p>
        </w:tc>
        <w:tc>
          <w:tcPr>
            <w:tcW w:type="dxa" w:w="3322"/>
          </w:tcPr>
          <w:p>
            <w:pPr>
              <w:pStyle w:val="null3"/>
            </w:pPr>
            <w:r>
              <w:rPr/>
              <w:t>提交投标文件截止时间前6个月内至少一个月的社会保障资金缴存单据或社保机构开具的社会保险参保缴费情况证明，依法不需要缴纳社会保障资金的单位应提供相关证明材料。</w:t>
            </w:r>
          </w:p>
        </w:tc>
        <w:tc>
          <w:tcPr>
            <w:tcW w:type="dxa" w:w="1661"/>
          </w:tcPr>
          <w:p>
            <w:pPr>
              <w:pStyle w:val="null3"/>
            </w:pPr>
            <w:r>
              <w:rPr/>
              <w:t>投标人应提交的相关资格证明材料</w:t>
            </w:r>
          </w:p>
        </w:tc>
      </w:tr>
      <w:tr>
        <w:tc>
          <w:tcPr>
            <w:tcW w:type="dxa" w:w="831"/>
          </w:tcPr>
          <w:p>
            <w:pPr>
              <w:pStyle w:val="null3"/>
            </w:pPr>
            <w:r>
              <w:rPr/>
              <w:t>5</w:t>
            </w:r>
          </w:p>
        </w:tc>
        <w:tc>
          <w:tcPr>
            <w:tcW w:type="dxa" w:w="2492"/>
          </w:tcPr>
          <w:p>
            <w:pPr>
              <w:pStyle w:val="null3"/>
            </w:pPr>
            <w:r>
              <w:rPr/>
              <w:t>信用查询</w:t>
            </w:r>
          </w:p>
        </w:tc>
        <w:tc>
          <w:tcPr>
            <w:tcW w:type="dxa" w:w="3322"/>
          </w:tcPr>
          <w:p>
            <w:pPr>
              <w:pStyle w:val="null3"/>
            </w:pPr>
            <w:r>
              <w:rPr/>
              <w:t>投标人不得在“中国执行信息公开网（http://zxgk.court.gov.cn/）”网站被列为失信被执行人；不得在“信用中国”（www.creditchina.gov.cn）网站被列入严重失信主体名单和重大税收违法失信主体；不得在“中国政府采购网”（www.ccgp.gov.cn）网站被列入政府采购严重违法失信行为记录名单。</w:t>
            </w:r>
          </w:p>
        </w:tc>
        <w:tc>
          <w:tcPr>
            <w:tcW w:type="dxa" w:w="1661"/>
          </w:tcPr>
          <w:p>
            <w:pPr>
              <w:pStyle w:val="null3"/>
            </w:pPr>
            <w:r>
              <w:rPr/>
              <w:t>投标人应提交的相关资格证明材料</w:t>
            </w:r>
          </w:p>
        </w:tc>
      </w:tr>
      <w:tr>
        <w:tc>
          <w:tcPr>
            <w:tcW w:type="dxa" w:w="831"/>
          </w:tcPr>
          <w:p>
            <w:pPr>
              <w:pStyle w:val="null3"/>
            </w:pPr>
            <w:r>
              <w:rPr/>
              <w:t>6</w:t>
            </w:r>
          </w:p>
        </w:tc>
        <w:tc>
          <w:tcPr>
            <w:tcW w:type="dxa" w:w="2492"/>
          </w:tcPr>
          <w:p>
            <w:pPr>
              <w:pStyle w:val="null3"/>
            </w:pPr>
            <w:r>
              <w:rPr/>
              <w:t>履约能力</w:t>
            </w:r>
          </w:p>
        </w:tc>
        <w:tc>
          <w:tcPr>
            <w:tcW w:type="dxa" w:w="3322"/>
          </w:tcPr>
          <w:p>
            <w:pPr>
              <w:pStyle w:val="null3"/>
            </w:pPr>
            <w:r>
              <w:rPr/>
              <w:t>投标人具备履行合同所必需的设备和专业技术能力（提供承诺书）。</w:t>
            </w:r>
          </w:p>
        </w:tc>
        <w:tc>
          <w:tcPr>
            <w:tcW w:type="dxa" w:w="1661"/>
          </w:tcPr>
          <w:p>
            <w:pPr>
              <w:pStyle w:val="null3"/>
            </w:pPr>
            <w:r>
              <w:rPr/>
              <w:t>投标人应提交的相关资格证明材料</w:t>
            </w:r>
          </w:p>
        </w:tc>
      </w:tr>
      <w:tr>
        <w:tc>
          <w:tcPr>
            <w:tcW w:type="dxa" w:w="831"/>
          </w:tcPr>
          <w:p>
            <w:pPr>
              <w:pStyle w:val="null3"/>
            </w:pPr>
            <w:r>
              <w:rPr/>
              <w:t>7</w:t>
            </w:r>
          </w:p>
        </w:tc>
        <w:tc>
          <w:tcPr>
            <w:tcW w:type="dxa" w:w="2492"/>
          </w:tcPr>
          <w:p>
            <w:pPr>
              <w:pStyle w:val="null3"/>
            </w:pPr>
            <w:r>
              <w:rPr/>
              <w:t>无重大违法记录</w:t>
            </w:r>
          </w:p>
        </w:tc>
        <w:tc>
          <w:tcPr>
            <w:tcW w:type="dxa" w:w="3322"/>
          </w:tcPr>
          <w:p>
            <w:pPr>
              <w:pStyle w:val="null3"/>
            </w:pPr>
            <w:r>
              <w:rPr/>
              <w:t>参加政府采购活动前3年内，在经营活动中没有重大违法记录（提供书面声明函）。</w:t>
            </w:r>
          </w:p>
        </w:tc>
        <w:tc>
          <w:tcPr>
            <w:tcW w:type="dxa" w:w="1661"/>
          </w:tcPr>
          <w:p>
            <w:pPr>
              <w:pStyle w:val="null3"/>
            </w:pPr>
            <w:r>
              <w:rPr/>
              <w:t>投标人应提交的相关资格证明材料</w:t>
            </w:r>
          </w:p>
        </w:tc>
      </w:tr>
      <w:tr>
        <w:tc>
          <w:tcPr>
            <w:tcW w:type="dxa" w:w="831"/>
          </w:tcPr>
          <w:p>
            <w:pPr>
              <w:pStyle w:val="null3"/>
            </w:pPr>
            <w:r>
              <w:rPr/>
              <w:t>8</w:t>
            </w:r>
          </w:p>
        </w:tc>
        <w:tc>
          <w:tcPr>
            <w:tcW w:type="dxa" w:w="2492"/>
          </w:tcPr>
          <w:p>
            <w:pPr>
              <w:pStyle w:val="null3"/>
            </w:pPr>
            <w:r>
              <w:rPr/>
              <w:t>企业关联关系</w:t>
            </w:r>
          </w:p>
        </w:tc>
        <w:tc>
          <w:tcPr>
            <w:tcW w:type="dxa" w:w="3322"/>
          </w:tcPr>
          <w:p>
            <w:pPr>
              <w:pStyle w:val="null3"/>
            </w:pPr>
            <w:r>
              <w:rPr/>
              <w:t>单位负责人为同一人或者存在控股、管理关系的不同单位不得同时参加。</w:t>
            </w:r>
          </w:p>
        </w:tc>
        <w:tc>
          <w:tcPr>
            <w:tcW w:type="dxa" w:w="1661"/>
          </w:tcPr>
          <w:p>
            <w:pPr>
              <w:pStyle w:val="null3"/>
            </w:pPr>
            <w:r>
              <w:rPr/>
              <w:t>投标人应提交的相关资格证明材料</w:t>
            </w:r>
          </w:p>
        </w:tc>
      </w:tr>
      <w:tr>
        <w:tc>
          <w:tcPr>
            <w:tcW w:type="dxa" w:w="831"/>
          </w:tcPr>
          <w:p>
            <w:pPr>
              <w:pStyle w:val="null3"/>
            </w:pPr>
            <w:r>
              <w:rPr/>
              <w:t>9</w:t>
            </w:r>
          </w:p>
        </w:tc>
        <w:tc>
          <w:tcPr>
            <w:tcW w:type="dxa" w:w="2492"/>
          </w:tcPr>
          <w:p>
            <w:pPr>
              <w:pStyle w:val="null3"/>
            </w:pPr>
            <w:r>
              <w:rPr/>
              <w:t>法定代表人身份证明或法定代表人授权委托书</w:t>
            </w:r>
          </w:p>
        </w:tc>
        <w:tc>
          <w:tcPr>
            <w:tcW w:type="dxa" w:w="3322"/>
          </w:tcPr>
          <w:p>
            <w:pPr>
              <w:pStyle w:val="null3"/>
            </w:pPr>
            <w:r>
              <w:rPr/>
              <w:t>法定代表人直接参加投标的，须出具法定代表人身份证明及身份证原件；法定代表人授权代表参加投标的，须出具法定代表人授权书及授权代表身份证原件。投标文件中凡是需要法定代表人盖章之处，非法人单位的负责人均参照执行。</w:t>
            </w:r>
          </w:p>
        </w:tc>
        <w:tc>
          <w:tcPr>
            <w:tcW w:type="dxa" w:w="1661"/>
          </w:tcPr>
          <w:p>
            <w:pPr>
              <w:pStyle w:val="null3"/>
            </w:pPr>
            <w:r>
              <w:rPr/>
              <w:t>投标人应提交的相关资格证明材料</w:t>
            </w:r>
          </w:p>
        </w:tc>
      </w:tr>
      <w:tr>
        <w:tc>
          <w:tcPr>
            <w:tcW w:type="dxa" w:w="831"/>
          </w:tcPr>
          <w:p>
            <w:pPr>
              <w:pStyle w:val="null3"/>
            </w:pPr>
            <w:r>
              <w:rPr/>
              <w:t>10</w:t>
            </w:r>
          </w:p>
        </w:tc>
        <w:tc>
          <w:tcPr>
            <w:tcW w:type="dxa" w:w="2492"/>
          </w:tcPr>
          <w:p>
            <w:pPr>
              <w:pStyle w:val="null3"/>
            </w:pPr>
            <w:r>
              <w:rPr/>
              <w:t>联合体情况</w:t>
            </w:r>
          </w:p>
        </w:tc>
        <w:tc>
          <w:tcPr>
            <w:tcW w:type="dxa" w:w="3322"/>
          </w:tcPr>
          <w:p>
            <w:pPr>
              <w:pStyle w:val="null3"/>
            </w:pPr>
            <w:r>
              <w:rPr/>
              <w:t>本项目不接受联合体投标（提供承诺书）。</w:t>
            </w:r>
          </w:p>
        </w:tc>
        <w:tc>
          <w:tcPr>
            <w:tcW w:type="dxa" w:w="1661"/>
          </w:tcPr>
          <w:p>
            <w:pPr>
              <w:pStyle w:val="null3"/>
            </w:pPr>
            <w:r>
              <w:rPr/>
              <w:t>投标人应提交的相关资格证明材料</w:t>
            </w:r>
          </w:p>
        </w:tc>
      </w:tr>
    </w:tbl>
    <w:p>
      <w:pPr>
        <w:pStyle w:val="null3"/>
        <w:outlineLvl w:val="2"/>
      </w:pPr>
      <w:r>
        <w:rPr>
          <w:sz w:val="28"/>
          <w:b/>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 xml:space="preserve"> </w:t>
        <w:br/>
        <w:br w:type="page"/>
      </w:r>
    </w:p>
    <w:p>
      <w:pPr>
        <w:pStyle w:val="null3"/>
        <w:jc w:val="center"/>
        <w:outlineLvl w:val="1"/>
      </w:pPr>
      <w:r>
        <w:rPr>
          <w:sz w:val="36"/>
          <w:b/>
        </w:rPr>
        <w:t>第五章 评标办法</w:t>
      </w:r>
    </w:p>
    <w:p>
      <w:pPr>
        <w:pStyle w:val="null3"/>
        <w:outlineLvl w:val="2"/>
      </w:pPr>
      <w:r>
        <w:rPr>
          <w:sz w:val="28"/>
          <w:b/>
        </w:rPr>
        <w:t>5.1总则</w:t>
      </w:r>
    </w:p>
    <w:p>
      <w:pPr>
        <w:pStyle w:val="null3"/>
        <w:ind w:firstLine="480"/>
      </w:pPr>
      <w:r>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t xml:space="preserve"> 二、评标工作由代理机构负责组织，具体评标事务由采购人或代理机构依法组建的评标委员会负责。评标委员会由采购人代表和评审专家组成。</w:t>
      </w:r>
    </w:p>
    <w:p>
      <w:pPr>
        <w:pStyle w:val="null3"/>
        <w:ind w:firstLine="480"/>
      </w:pPr>
      <w:r>
        <w:rPr/>
        <w:t>三、评标工作应遵循公平、公正、科学及择优的原则，并以相同的评标程序和标准对待所有的投标人。</w:t>
      </w:r>
    </w:p>
    <w:p>
      <w:pPr>
        <w:pStyle w:val="null3"/>
        <w:ind w:firstLine="480"/>
      </w:pPr>
      <w:r>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sz w:val="28"/>
          <w:b/>
        </w:rPr>
        <w:t>5.2评标委员会</w:t>
      </w:r>
    </w:p>
    <w:p>
      <w:pPr>
        <w:pStyle w:val="null3"/>
        <w:ind w:firstLine="480"/>
      </w:pPr>
      <w:r>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t>四、评标委员会按照招标文件规定的评标程序、评标方法和标准进行评标，并独立履行下列职责：</w:t>
      </w:r>
    </w:p>
    <w:p>
      <w:pPr>
        <w:pStyle w:val="null3"/>
        <w:ind w:firstLine="480"/>
      </w:pPr>
      <w:r>
        <w:rPr/>
        <w:t>（一）熟悉和理解招标文件；</w:t>
      </w:r>
    </w:p>
    <w:p>
      <w:pPr>
        <w:pStyle w:val="null3"/>
        <w:ind w:firstLine="480"/>
      </w:pPr>
      <w:r>
        <w:rPr/>
        <w:t>（二）审查供应商投标文件等是否满足招标文件要求，并作出评价；</w:t>
      </w:r>
    </w:p>
    <w:p>
      <w:pPr>
        <w:pStyle w:val="null3"/>
        <w:ind w:firstLine="480"/>
      </w:pPr>
      <w:r>
        <w:rPr/>
        <w:t xml:space="preserve"> （三）根据需要要求采购组织单位对招标文件作出解释；根据需要要求供应商对投标文件有关事项作出澄清、说明或者更正；</w:t>
      </w:r>
    </w:p>
    <w:p>
      <w:pPr>
        <w:pStyle w:val="null3"/>
        <w:ind w:firstLine="480"/>
      </w:pPr>
      <w:r>
        <w:rPr/>
        <w:t>（四）推荐中标候选供应商，或者受采购人委托确定中标供应商；</w:t>
      </w:r>
    </w:p>
    <w:p>
      <w:pPr>
        <w:pStyle w:val="null3"/>
        <w:ind w:firstLine="480"/>
      </w:pPr>
      <w:r>
        <w:rPr/>
        <w:t>（五）起草评标报告并进行签署；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5.3 评标方法</w:t>
      </w:r>
    </w:p>
    <w:p>
      <w:pPr>
        <w:pStyle w:val="null3"/>
      </w:pPr>
      <w:r>
        <w:rPr/>
        <w:t>采购包1：综合评分法</w:t>
      </w:r>
    </w:p>
    <w:p>
      <w:pPr>
        <w:pStyle w:val="null3"/>
        <w:outlineLvl w:val="2"/>
      </w:pPr>
      <w:r>
        <w:rPr>
          <w:sz w:val="28"/>
          <w:b/>
        </w:rPr>
        <w:t>5.4评标程序</w:t>
      </w:r>
    </w:p>
    <w:p>
      <w:pPr>
        <w:pStyle w:val="null3"/>
        <w:outlineLvl w:val="3"/>
      </w:pPr>
      <w:r>
        <w:rPr>
          <w:sz w:val="24"/>
          <w:b/>
        </w:rPr>
        <w:t xml:space="preserve"> 5.4.1熟悉和理解招标文件和停止评标</w:t>
      </w:r>
    </w:p>
    <w:p>
      <w:pPr>
        <w:pStyle w:val="null3"/>
        <w:ind w:firstLine="480"/>
      </w:pPr>
      <w:r>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t>二、本招标文件有下列情形之一的，评标委员会应当停止评标：</w:t>
      </w:r>
    </w:p>
    <w:p>
      <w:pPr>
        <w:pStyle w:val="null3"/>
        <w:ind w:firstLine="480"/>
      </w:pPr>
      <w:r>
        <w:rPr/>
        <w:t>（一）招标文件的规定存在歧义、重大缺陷的；</w:t>
      </w:r>
    </w:p>
    <w:p>
      <w:pPr>
        <w:pStyle w:val="null3"/>
        <w:ind w:firstLine="480"/>
      </w:pPr>
      <w:r>
        <w:rPr/>
        <w:t>（二）招标文件明显以不合理条件对供应商实行差别待遇或者歧视待遇的；</w:t>
      </w:r>
    </w:p>
    <w:p>
      <w:pPr>
        <w:pStyle w:val="null3"/>
        <w:ind w:firstLine="480"/>
      </w:pPr>
      <w:r>
        <w:rPr/>
        <w:t>（三）采购项目属于国家规定的优先、强制采购范围，但是招标文件未依法体现优先、强制采购相关规定的；</w:t>
      </w:r>
    </w:p>
    <w:p>
      <w:pPr>
        <w:pStyle w:val="null3"/>
        <w:ind w:firstLine="480"/>
      </w:pPr>
      <w:r>
        <w:rPr/>
        <w:t>（四）采购项目属于政府采购促进中小企业发展的范围，但是招标文件未依法体现促进中小企业发展相关规定的；</w:t>
      </w:r>
    </w:p>
    <w:p>
      <w:pPr>
        <w:pStyle w:val="null3"/>
        <w:ind w:firstLine="480"/>
      </w:pPr>
      <w:r>
        <w:rPr/>
        <w:t xml:space="preserve"> （五）招标文件规定的评标方法是综合评分法、最低评标价法之外的评标方法，或者虽然名称为综合评分法、最低评标价法，但实际上不符合国家规定；</w:t>
      </w:r>
    </w:p>
    <w:p>
      <w:pPr>
        <w:pStyle w:val="null3"/>
        <w:ind w:firstLine="480"/>
      </w:pPr>
      <w:r>
        <w:rPr/>
        <w:t>（六）招标文件将投标人的资格条件列为评分因素的；</w:t>
      </w:r>
    </w:p>
    <w:p>
      <w:pPr>
        <w:pStyle w:val="null3"/>
        <w:ind w:firstLine="480"/>
      </w:pPr>
      <w:r>
        <w:rPr/>
        <w:t>（七）招标文件有违反国家其他有关强制性规定的情形。</w:t>
      </w:r>
    </w:p>
    <w:p>
      <w:pPr>
        <w:pStyle w:val="null3"/>
        <w:ind w:firstLine="480"/>
      </w:pPr>
      <w:r>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sz w:val="24"/>
          <w:b/>
        </w:rPr>
        <w:t>5.4.2符合性审查</w:t>
      </w:r>
    </w:p>
    <w:p>
      <w:pPr>
        <w:pStyle w:val="null3"/>
        <w:ind w:firstLine="480"/>
      </w:pPr>
      <w:r>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t xml:space="preserve"> 在符合性审查过程中，如果出现评标委员会成员意见不一致的情况，按照少数服从多数的原则确定，但不得违背政府采购基本原则和招标文件规定。</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标的清单</w:t>
            </w:r>
          </w:p>
        </w:tc>
      </w:tr>
      <w:tr>
        <w:tc>
          <w:tcPr>
            <w:tcW w:type="dxa" w:w="831"/>
          </w:tcPr>
          <w:p>
            <w:pPr>
              <w:pStyle w:val="null3"/>
            </w:pPr>
            <w:r>
              <w:rPr/>
              <w:t>2</w:t>
            </w:r>
          </w:p>
        </w:tc>
        <w:tc>
          <w:tcPr>
            <w:tcW w:type="dxa" w:w="2492"/>
          </w:tcPr>
          <w:p>
            <w:pPr>
              <w:pStyle w:val="null3"/>
            </w:pPr>
            <w:r>
              <w:rPr/>
              <w:t>有效性审查</w:t>
            </w:r>
          </w:p>
        </w:tc>
        <w:tc>
          <w:tcPr>
            <w:tcW w:type="dxa" w:w="3322"/>
          </w:tcPr>
          <w:p>
            <w:pPr>
              <w:pStyle w:val="null3"/>
            </w:pPr>
            <w:r>
              <w:rPr/>
              <w:t>（1）投标文件的签字、盖章：投标文件上法定代表人或其委托代理人的签字齐全并加盖单位章；投标文件应逐页加盖单位公章，且公章清晰可见。 （2）投标文件格式：应符合招标文件要求。 （3）报价唯一：只能有一个有效报价，不得提交选择性报价，且报价不超过采购预算。</w:t>
            </w:r>
          </w:p>
        </w:tc>
        <w:tc>
          <w:tcPr>
            <w:tcW w:type="dxa" w:w="1661"/>
          </w:tcPr>
          <w:p>
            <w:pPr>
              <w:pStyle w:val="null3"/>
            </w:pPr>
            <w:r>
              <w:rPr/>
              <w:t>开标一览表 产品技术参数表 投标函 中小企业声明函 残疾人福利性单位声明函 商务应答表 标的清单 投标文件封面 监狱企业的证明文件 投标人应提交的相关资格证明材料</w:t>
            </w:r>
          </w:p>
        </w:tc>
      </w:tr>
      <w:tr>
        <w:tc>
          <w:tcPr>
            <w:tcW w:type="dxa" w:w="831"/>
          </w:tcPr>
          <w:p>
            <w:pPr>
              <w:pStyle w:val="null3"/>
            </w:pPr>
            <w:r>
              <w:rPr/>
              <w:t>3</w:t>
            </w:r>
          </w:p>
        </w:tc>
        <w:tc>
          <w:tcPr>
            <w:tcW w:type="dxa" w:w="2492"/>
          </w:tcPr>
          <w:p>
            <w:pPr>
              <w:pStyle w:val="null3"/>
            </w:pPr>
            <w:r>
              <w:rPr/>
              <w:t>完整性审查</w:t>
            </w:r>
          </w:p>
        </w:tc>
        <w:tc>
          <w:tcPr>
            <w:tcW w:type="dxa" w:w="3322"/>
          </w:tcPr>
          <w:p>
            <w:pPr>
              <w:pStyle w:val="null3"/>
            </w:pPr>
            <w:r>
              <w:rPr/>
              <w:t>投标文件内容齐全、无遗漏。</w:t>
            </w:r>
          </w:p>
        </w:tc>
        <w:tc>
          <w:tcPr>
            <w:tcW w:type="dxa" w:w="1661"/>
          </w:tcPr>
          <w:p>
            <w:pPr>
              <w:pStyle w:val="null3"/>
            </w:pPr>
            <w:r>
              <w:rPr/>
              <w:t>开标一览表 产品技术参数表 投标函 中小企业声明函 残疾人福利性单位声明函 商务应答表 标的清单 投标文件封面 监狱企业的证明文件 投标人应提交的相关资格证明材料</w:t>
            </w:r>
          </w:p>
        </w:tc>
      </w:tr>
      <w:tr>
        <w:tc>
          <w:tcPr>
            <w:tcW w:type="dxa" w:w="831"/>
          </w:tcPr>
          <w:p>
            <w:pPr>
              <w:pStyle w:val="null3"/>
            </w:pPr>
            <w:r>
              <w:rPr/>
              <w:t>4</w:t>
            </w:r>
          </w:p>
        </w:tc>
        <w:tc>
          <w:tcPr>
            <w:tcW w:type="dxa" w:w="2492"/>
          </w:tcPr>
          <w:p>
            <w:pPr>
              <w:pStyle w:val="null3"/>
            </w:pPr>
            <w:r>
              <w:rPr/>
              <w:t>响应性审查</w:t>
            </w:r>
          </w:p>
        </w:tc>
        <w:tc>
          <w:tcPr>
            <w:tcW w:type="dxa" w:w="3322"/>
          </w:tcPr>
          <w:p>
            <w:pPr>
              <w:pStyle w:val="null3"/>
            </w:pPr>
            <w:r>
              <w:rPr/>
              <w:t>（1）对招标文件响应程度：要求全面响应，不能有任何采购人不能接受的附加条件。 （2）拟提供服务响应程度：应满足招标文件提出的技术和服务要求。 （3）交货期：自合同签订生效之日起30个日历天完成供货、安装、调试。 （4）交货地点：采购人指定地点。 （5）投标有效期：应满足招标文件中的规定。</w:t>
            </w:r>
          </w:p>
        </w:tc>
        <w:tc>
          <w:tcPr>
            <w:tcW w:type="dxa" w:w="1661"/>
          </w:tcPr>
          <w:p>
            <w:pPr>
              <w:pStyle w:val="null3"/>
            </w:pPr>
            <w:r>
              <w:rPr/>
              <w:t>开标一览表 产品技术参数表 投标函 中小企业声明函 残疾人福利性单位声明函 商务应答表 标的清单 投标文件封面 监狱企业的证明文件 投标人应提交的相关资格证明材料</w:t>
            </w:r>
          </w:p>
        </w:tc>
      </w:tr>
    </w:tbl>
    <w:p>
      <w:pPr>
        <w:pStyle w:val="null3"/>
        <w:ind w:firstLine="480"/>
      </w:pPr>
      <w:r>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sz w:val="24"/>
          <w:b/>
        </w:rPr>
        <w:t>5.4.3解释、澄清有关问题</w:t>
      </w:r>
    </w:p>
    <w:p>
      <w:pPr>
        <w:pStyle w:val="null3"/>
        <w:ind w:firstLine="480"/>
      </w:pPr>
      <w:r>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t>（一）投标人投标文件中不响应招标文件规定的技术参数指标和商务应答；</w:t>
      </w:r>
    </w:p>
    <w:p>
      <w:pPr>
        <w:pStyle w:val="null3"/>
        <w:ind w:firstLine="480"/>
      </w:pPr>
      <w:r>
        <w:rPr/>
        <w:t>（二）投标人投标文件中未提供的证明其是否符合招标文件资格、符合性规定要求的相关材料。</w:t>
      </w:r>
    </w:p>
    <w:p>
      <w:pPr>
        <w:pStyle w:val="null3"/>
        <w:ind w:firstLine="480"/>
      </w:pPr>
      <w:r>
        <w:rPr/>
        <w:t>（三）投标人投标文件中的材料因印刷、影印等不清晰而难以辨认的。</w:t>
      </w:r>
    </w:p>
    <w:p>
      <w:pPr>
        <w:pStyle w:val="null3"/>
        <w:ind w:firstLine="480"/>
      </w:pPr>
      <w:r>
        <w:rPr/>
        <w:t>四、投标文件报价出现下列情况的，按以下原则处理：</w:t>
      </w:r>
    </w:p>
    <w:p>
      <w:pPr>
        <w:pStyle w:val="null3"/>
        <w:ind w:firstLine="480"/>
      </w:pPr>
      <w:r>
        <w:rPr/>
        <w:t>（一）投标文件中开标一览表（报价表）内容与投标文件中相应内容不一致的，以开标一览表（报价表）为准；</w:t>
      </w:r>
    </w:p>
    <w:p>
      <w:pPr>
        <w:pStyle w:val="null3"/>
        <w:ind w:firstLine="480"/>
      </w:pPr>
      <w:r>
        <w:rPr/>
        <w:t>（二）大写金额和小写金额不一致的，以大写金额为准，但大写金额出现文字错误，导致金额无法判断的除外；</w:t>
      </w:r>
    </w:p>
    <w:p>
      <w:pPr>
        <w:pStyle w:val="null3"/>
        <w:ind w:firstLine="480"/>
      </w:pPr>
      <w:r>
        <w:rPr/>
        <w:t>（三）单价金额小数点或者百分比有明显错位的，以开标一览表总价为准，并修改单价；</w:t>
      </w:r>
    </w:p>
    <w:p>
      <w:pPr>
        <w:pStyle w:val="null3"/>
        <w:ind w:firstLine="480"/>
      </w:pPr>
      <w:r>
        <w:rPr/>
        <w:t>（四）总价金额与按单价汇总金额不一致的，以单价金额计算结果为准。</w:t>
      </w:r>
    </w:p>
    <w:p>
      <w:pPr>
        <w:pStyle w:val="null3"/>
        <w:ind w:firstLine="480"/>
      </w:pPr>
      <w:r>
        <w:rPr/>
        <w:t xml:space="preserve"> 同时出现两种以上不一致的，按照前款规定的顺序修正。修正后的报价经投标人确认后产生约束力，投标人不确认的，其投标无效。</w:t>
      </w:r>
    </w:p>
    <w:p>
      <w:pPr>
        <w:pStyle w:val="null3"/>
        <w:ind w:firstLine="480"/>
      </w:pPr>
      <w:r>
        <w:rPr/>
        <w:t>五、对不同语言文本投标文件的解释发生异议的，以中文文本为准。</w:t>
      </w:r>
    </w:p>
    <w:p>
      <w:pPr>
        <w:pStyle w:val="null3"/>
        <w:ind w:firstLine="480"/>
      </w:pPr>
      <w:r>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t>评标委员会应当积极履行澄清、说明或者更正的职责，不得滥用权力。</w:t>
      </w:r>
    </w:p>
    <w:p>
      <w:pPr>
        <w:pStyle w:val="null3"/>
        <w:outlineLvl w:val="3"/>
      </w:pPr>
      <w:r>
        <w:rPr>
          <w:sz w:val="24"/>
          <w:b/>
        </w:rPr>
        <w:t>5.4.4比较与评价</w:t>
      </w:r>
    </w:p>
    <w:p>
      <w:pPr>
        <w:pStyle w:val="null3"/>
        <w:ind w:firstLine="480"/>
      </w:pPr>
      <w:r>
        <w:rPr/>
        <w:t xml:space="preserve"> 评标委员会应当按照招标文件规定的评标细则及标准，对符合性检查合格的投标文件进行商务和技术评估，综合比较和评价。</w:t>
      </w:r>
    </w:p>
    <w:p>
      <w:pPr>
        <w:pStyle w:val="null3"/>
        <w:outlineLvl w:val="3"/>
      </w:pPr>
      <w:r>
        <w:rPr>
          <w:sz w:val="24"/>
          <w:b/>
        </w:rPr>
        <w:t xml:space="preserve"> 5.4.5复核</w:t>
      </w:r>
    </w:p>
    <w:p>
      <w:pPr>
        <w:pStyle w:val="null3"/>
        <w:ind w:firstLine="480"/>
      </w:pPr>
      <w:r>
        <w:rPr/>
        <w:t xml:space="preserve"> 评分汇总结束后，评标委员会应当进行复核，对拟推荐为中标候选供应商、报价最低、投标文件被认定为无效等进行重点复核。</w:t>
      </w:r>
    </w:p>
    <w:p>
      <w:pPr>
        <w:pStyle w:val="null3"/>
        <w:ind w:firstLine="480"/>
      </w:pPr>
      <w:r>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t>评标结果汇总完成后，除下列情形外，任何人不得修改评标结果：</w:t>
      </w:r>
    </w:p>
    <w:p>
      <w:pPr>
        <w:pStyle w:val="null3"/>
        <w:ind w:firstLine="480"/>
      </w:pPr>
      <w:r>
        <w:rPr/>
        <w:t>（一）分值汇总计算错误的；</w:t>
      </w:r>
    </w:p>
    <w:p>
      <w:pPr>
        <w:pStyle w:val="null3"/>
        <w:ind w:firstLine="480"/>
      </w:pPr>
      <w:r>
        <w:rPr/>
        <w:t>（二）分项评分超出评分标准范围的；</w:t>
      </w:r>
    </w:p>
    <w:p>
      <w:pPr>
        <w:pStyle w:val="null3"/>
        <w:ind w:firstLine="480"/>
      </w:pPr>
      <w:r>
        <w:rPr/>
        <w:t>（三）评标委员会成员对客观评审因素评分不一致的；</w:t>
      </w:r>
    </w:p>
    <w:p>
      <w:pPr>
        <w:pStyle w:val="null3"/>
        <w:ind w:firstLine="480"/>
      </w:pPr>
      <w:r>
        <w:rPr/>
        <w:t>（四）经评标委员会认定评分畸高、畸低的。</w:t>
      </w:r>
    </w:p>
    <w:p>
      <w:pPr>
        <w:pStyle w:val="null3"/>
        <w:ind w:firstLine="480"/>
      </w:pPr>
      <w:r>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sz w:val="24"/>
          <w:b/>
        </w:rPr>
        <w:t>5.4.6确定中标候选人名单</w:t>
      </w:r>
    </w:p>
    <w:p>
      <w:pPr>
        <w:pStyle w:val="null3"/>
      </w:pPr>
      <w:r>
        <w:rPr/>
        <w:t>采购包1：</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sz w:val="24"/>
          <w:b/>
        </w:rPr>
        <w:t>5.4.7编写评标报告</w:t>
      </w:r>
    </w:p>
    <w:p>
      <w:pPr>
        <w:pStyle w:val="null3"/>
        <w:ind w:firstLine="480"/>
      </w:pPr>
      <w:r>
        <w:rPr/>
        <w:t>评标报告是评标委员会根据全体评标成员签字的评标记录和评标结果编写的报告，其主要内容包括：</w:t>
      </w:r>
    </w:p>
    <w:p>
      <w:pPr>
        <w:pStyle w:val="null3"/>
        <w:ind w:firstLine="480"/>
      </w:pPr>
      <w:r>
        <w:rPr/>
        <w:t>一、招标公告刊登的媒体名称、开标日期和地点；</w:t>
      </w:r>
    </w:p>
    <w:p>
      <w:pPr>
        <w:pStyle w:val="null3"/>
        <w:ind w:firstLine="480"/>
      </w:pPr>
      <w:r>
        <w:rPr/>
        <w:t>二、投标人名单和评标委员会成员名单；</w:t>
      </w:r>
    </w:p>
    <w:p>
      <w:pPr>
        <w:pStyle w:val="null3"/>
        <w:ind w:firstLine="480"/>
      </w:pPr>
      <w:r>
        <w:rPr/>
        <w:t>三、评审方法和标准；</w:t>
      </w:r>
    </w:p>
    <w:p>
      <w:pPr>
        <w:pStyle w:val="null3"/>
        <w:ind w:firstLine="480"/>
      </w:pPr>
      <w:r>
        <w:rPr/>
        <w:t>四、开标记录和评审情况及说明，包括投标无效供应商名单及原因；</w:t>
      </w:r>
    </w:p>
    <w:p>
      <w:pPr>
        <w:pStyle w:val="null3"/>
        <w:ind w:firstLine="480"/>
      </w:pPr>
      <w:r>
        <w:rPr/>
        <w:t>五、评标结果，确定的中标候选人名单或者经采购人委托直接确定的中标人</w:t>
      </w:r>
    </w:p>
    <w:p>
      <w:pPr>
        <w:pStyle w:val="null3"/>
        <w:ind w:firstLine="480"/>
      </w:pPr>
      <w:r>
        <w:rPr/>
        <w:t xml:space="preserve"> 六、其他需要说明的情况，包括评标过程中投标人根据评标委员会要求进行的澄清、说明或者补正，评标委员会成员的更换等；</w:t>
      </w:r>
    </w:p>
    <w:p>
      <w:pPr>
        <w:pStyle w:val="null3"/>
        <w:ind w:firstLine="480"/>
      </w:pPr>
      <w:r>
        <w:rPr/>
        <w:t>七、报价最高的投标人为中标候选人的，评标委员会应当对其报价的合理性予以特别说明。</w:t>
      </w:r>
    </w:p>
    <w:p>
      <w:pPr>
        <w:pStyle w:val="null3"/>
        <w:ind w:firstLine="480"/>
      </w:pPr>
      <w:r>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sz w:val="28"/>
          <w:b/>
        </w:rPr>
        <w:t>5.5评标争议处理规则</w:t>
      </w:r>
    </w:p>
    <w:p>
      <w:pPr>
        <w:pStyle w:val="null3"/>
        <w:ind w:firstLine="480"/>
      </w:pPr>
      <w:r>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sz w:val="28"/>
          <w:b/>
        </w:rPr>
        <w:t>5.6评标细则及标准</w:t>
      </w:r>
    </w:p>
    <w:p>
      <w:pPr>
        <w:pStyle w:val="null3"/>
        <w:ind w:firstLine="480"/>
      </w:pPr>
      <w:r>
        <w:rPr/>
        <w:t xml:space="preserve"> 一、评标委员会只对通过资格审查的投标文件，根据招标文件的要求采用相同的评标程序、评分办法及标准进行评价和比较。</w:t>
      </w:r>
    </w:p>
    <w:p>
      <w:pPr>
        <w:pStyle w:val="null3"/>
        <w:ind w:firstLine="480"/>
      </w:pPr>
      <w:r>
        <w:rPr/>
        <w:t>二、评标委员会成员应依据招标文件规定的评分标准和方法独立评审。</w:t>
      </w:r>
    </w:p>
    <w:p>
      <w:pPr>
        <w:pStyle w:val="null3"/>
        <w:outlineLvl w:val="3"/>
      </w:pPr>
      <w:r>
        <w:rPr>
          <w:sz w:val="24"/>
          <w:b/>
        </w:rPr>
        <w:t>5.6.1评分办法</w:t>
      </w:r>
    </w:p>
    <w:p>
      <w:pPr>
        <w:pStyle w:val="null3"/>
        <w:ind w:firstLine="480"/>
      </w:pPr>
      <w:r>
        <w:rPr/>
        <w:t>若采用综合评分法的，由评标委员会各成员对通过资格检查和符合性审查的投标人的投标文件进行独立评审。 投标报价得分=（评标基准价／投标报价）×100</w:t>
      </w:r>
    </w:p>
    <w:p>
      <w:pPr>
        <w:pStyle w:val="null3"/>
        <w:ind w:firstLine="480"/>
      </w:pPr>
      <w:r>
        <w:rPr/>
        <w:t>评标总得分＝F1×A1＋F2×A2＋……＋Fn×An</w:t>
      </w:r>
    </w:p>
    <w:p>
      <w:pPr>
        <w:pStyle w:val="null3"/>
        <w:ind w:firstLine="480"/>
      </w:pPr>
      <w:r>
        <w:rPr/>
        <w:t>F1、F2……Fn分别为各项评审因素的得分；</w:t>
      </w:r>
    </w:p>
    <w:p>
      <w:pPr>
        <w:pStyle w:val="null3"/>
        <w:ind w:firstLine="480"/>
      </w:pPr>
      <w:r>
        <w:rPr/>
        <w:t>A1、A2、……An 分别为各项评审因素所占的权重（A1＋A2＋……＋An＝1）。</w:t>
      </w:r>
    </w:p>
    <w:p>
      <w:pPr>
        <w:pStyle w:val="null3"/>
        <w:ind w:firstLine="480"/>
      </w:pPr>
      <w:r>
        <w:rPr/>
        <w:t>评标过程中，不得去掉报价中的最高报价和最低报价。</w:t>
      </w:r>
    </w:p>
    <w:p>
      <w:pPr>
        <w:pStyle w:val="null3"/>
        <w:ind w:firstLine="480"/>
      </w:pPr>
      <w:r>
        <w:rPr/>
        <w:t>因落实政府采购政策进行价格调整的，以调整后的价格计算评标基准价和投标报价。</w:t>
      </w:r>
    </w:p>
    <w:p>
      <w:pPr>
        <w:pStyle w:val="null3"/>
        <w:outlineLvl w:val="3"/>
      </w:pPr>
      <w:r>
        <w:rPr>
          <w:sz w:val="24"/>
          <w:b/>
        </w:rPr>
        <w:t>5.6.2评分标准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详细评审100.0000分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价格分</w:t>
            </w:r>
          </w:p>
        </w:tc>
        <w:tc>
          <w:tcPr>
            <w:tcW w:type="dxa" w:w="2492"/>
          </w:tcPr>
          <w:p>
            <w:pPr>
              <w:pStyle w:val="null3"/>
            </w:pPr>
            <w:r>
              <w:rPr/>
              <w:t>价格评分满分为 30 分，以实质性满足招标文件商务和技术要求的 最低投标价格为基准值，投标报价得分=（评标基准价/投标报价）×30 备注：计算分数时四舍五入取小数点后两位。 评标委员会认为投标人的报价明显低于其他通过符合性审查投标人的报价，有可能影响产品质量或者不能诚信履约的，应当要求其在评标现场合理 的时间内提供书面说明，必要时提交相关证明材料；投标人不能证明其报价合理性的，评标委员会应当将其作为无效投标处理。</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开标一览表</w:t>
            </w:r>
          </w:p>
          <w:p>
            <w:pPr>
              <w:pStyle w:val="null3"/>
            </w:pPr>
            <w:r>
              <w:rPr/>
              <w:t>标的清单</w:t>
            </w:r>
          </w:p>
        </w:tc>
      </w:tr>
      <w:tr>
        <w:tc>
          <w:tcPr>
            <w:tcW w:type="dxa" w:w="831"/>
            <w:vMerge/>
          </w:tcPr>
          <w:p/>
        </w:tc>
        <w:tc>
          <w:tcPr>
            <w:tcW w:type="dxa" w:w="1661"/>
          </w:tcPr>
          <w:p>
            <w:pPr>
              <w:pStyle w:val="null3"/>
            </w:pPr>
            <w:r>
              <w:rPr/>
              <w:t>技术指标及配置</w:t>
            </w:r>
          </w:p>
        </w:tc>
        <w:tc>
          <w:tcPr>
            <w:tcW w:type="dxa" w:w="2492"/>
          </w:tcPr>
          <w:p>
            <w:pPr>
              <w:pStyle w:val="null3"/>
            </w:pPr>
            <w:r>
              <w:rPr/>
              <w:t>①投标人所投标产品完全满足招标文件技术参数要求的得 15 分； ②完全满足招标文件指标的情况下，每个产品技术指标参数每优于招标文件要求的技术指标参数，每一项加0.5分；本项最高得10分。 备注：投标人需提供有效证明文件（包括但不限于功能截图、彩页、产品证书、检测报告等相关证明资料） 投标人提供产品参数不得完全复制粘贴招标文件技术参数内容</w:t>
            </w:r>
          </w:p>
        </w:tc>
        <w:tc>
          <w:tcPr>
            <w:tcW w:type="dxa" w:w="831"/>
          </w:tcPr>
          <w:p>
            <w:pPr>
              <w:pStyle w:val="null3"/>
              <w:jc w:val="right"/>
            </w:pPr>
            <w:r>
              <w:rPr/>
              <w:t>25.0000</w:t>
            </w:r>
          </w:p>
        </w:tc>
        <w:tc>
          <w:tcPr>
            <w:tcW w:type="dxa" w:w="831"/>
          </w:tcPr>
          <w:p>
            <w:pPr>
              <w:pStyle w:val="null3"/>
            </w:pPr>
            <w:r>
              <w:rPr/>
              <w:t>客观</w:t>
            </w:r>
          </w:p>
        </w:tc>
        <w:tc>
          <w:tcPr>
            <w:tcW w:type="dxa" w:w="1661"/>
          </w:tcPr>
          <w:p>
            <w:pPr>
              <w:pStyle w:val="null3"/>
            </w:pPr>
            <w:r>
              <w:rPr/>
              <w:t>产品技术参数表</w:t>
            </w:r>
          </w:p>
          <w:p>
            <w:pPr>
              <w:pStyle w:val="null3"/>
            </w:pPr>
            <w:r>
              <w:rPr/>
              <w:t>商务应答表</w:t>
            </w:r>
          </w:p>
        </w:tc>
      </w:tr>
      <w:tr>
        <w:tc>
          <w:tcPr>
            <w:tcW w:type="dxa" w:w="831"/>
            <w:vMerge/>
          </w:tcPr>
          <w:p/>
        </w:tc>
        <w:tc>
          <w:tcPr>
            <w:tcW w:type="dxa" w:w="1661"/>
          </w:tcPr>
          <w:p>
            <w:pPr>
              <w:pStyle w:val="null3"/>
            </w:pPr>
            <w:r>
              <w:rPr/>
              <w:t>项目实施方案</w:t>
            </w:r>
          </w:p>
        </w:tc>
        <w:tc>
          <w:tcPr>
            <w:tcW w:type="dxa" w:w="2492"/>
          </w:tcPr>
          <w:p>
            <w:pPr>
              <w:pStyle w:val="null3"/>
            </w:pPr>
            <w:r>
              <w:rPr/>
              <w:t>①人员安排有具体方案，分工合理、责任明确，拟定各岗位管理制度、各岗位工作职责及考核办法；满分2分 ②财务保障充足，财务分配计划科学合理；满分2分 ③货物运送时运输工具的选取、运输路线规划、运送方案完整安全、科学、高效；满分2分 ④供货计划有保障，在合同履行过程中编制网络进度图或供货进度计划表；满分2分 ⑤安装调试流程清晰，方案详实；满分2分 ⑥具有实际可操作性的突发事件应急预案；满分2分 ⑦验收工作流程清晰，方案详实。满分2分 备注：方案评审中存在缺陷的，每一项中每有1处内容缺陷扣0.5分，扣完为止。内容缺陷是指：非专门针对本项目或不适用项目特性的情形、内容不完整或缺少关键节点、逻辑混乱、套用其他项目方案、内容前后矛盾、涉及的规范或标准错误、不利于项目实施、不可能实现的情形等任意一种情形。</w:t>
            </w:r>
          </w:p>
        </w:tc>
        <w:tc>
          <w:tcPr>
            <w:tcW w:type="dxa" w:w="831"/>
          </w:tcPr>
          <w:p>
            <w:pPr>
              <w:pStyle w:val="null3"/>
              <w:jc w:val="right"/>
            </w:pPr>
            <w:r>
              <w:rPr/>
              <w:t>14.0000</w:t>
            </w:r>
          </w:p>
        </w:tc>
        <w:tc>
          <w:tcPr>
            <w:tcW w:type="dxa" w:w="831"/>
          </w:tcPr>
          <w:p>
            <w:pPr>
              <w:pStyle w:val="null3"/>
            </w:pPr>
            <w:r>
              <w:rPr/>
              <w:t>主观</w:t>
            </w:r>
          </w:p>
        </w:tc>
        <w:tc>
          <w:tcPr>
            <w:tcW w:type="dxa" w:w="1661"/>
          </w:tcPr>
          <w:p>
            <w:pPr>
              <w:pStyle w:val="null3"/>
            </w:pPr>
            <w:r>
              <w:rPr/>
              <w:t>项目方案</w:t>
            </w:r>
          </w:p>
        </w:tc>
      </w:tr>
      <w:tr>
        <w:tc>
          <w:tcPr>
            <w:tcW w:type="dxa" w:w="831"/>
            <w:vMerge/>
          </w:tcPr>
          <w:p/>
        </w:tc>
        <w:tc>
          <w:tcPr>
            <w:tcW w:type="dxa" w:w="1661"/>
          </w:tcPr>
          <w:p>
            <w:pPr>
              <w:pStyle w:val="null3"/>
            </w:pPr>
            <w:r>
              <w:rPr/>
              <w:t>质量保障措施</w:t>
            </w:r>
          </w:p>
        </w:tc>
        <w:tc>
          <w:tcPr>
            <w:tcW w:type="dxa" w:w="2492"/>
          </w:tcPr>
          <w:p>
            <w:pPr>
              <w:pStyle w:val="null3"/>
            </w:pPr>
            <w:r>
              <w:rPr/>
              <w:t>根据投标人提供的产品合法来源渠道证明资料(例如:制造商授权协议，代理协议，销售协议等其中任意一种证明文件即可)及确保产品为正规厂家生产的合格产品，有质量保证，确保无假货、水货、翻新货技术、商务资料齐全，无产权纠纷。每提供一项产品的合法来源证明文件得1分，满分5分。不提供不得分。 备注:以加盖投标人公章的证明材料为计分依据。</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项目方案</w:t>
            </w:r>
          </w:p>
        </w:tc>
      </w:tr>
      <w:tr>
        <w:tc>
          <w:tcPr>
            <w:tcW w:type="dxa" w:w="831"/>
            <w:vMerge/>
          </w:tcPr>
          <w:p/>
        </w:tc>
        <w:tc>
          <w:tcPr>
            <w:tcW w:type="dxa" w:w="1661"/>
          </w:tcPr>
          <w:p>
            <w:pPr>
              <w:pStyle w:val="null3"/>
            </w:pPr>
            <w:r>
              <w:rPr/>
              <w:t>应急处理</w:t>
            </w:r>
          </w:p>
        </w:tc>
        <w:tc>
          <w:tcPr>
            <w:tcW w:type="dxa" w:w="2492"/>
          </w:tcPr>
          <w:p>
            <w:pPr>
              <w:pStyle w:val="null3"/>
            </w:pPr>
            <w:r>
              <w:rPr/>
              <w:t>针对本项目制定完善的应急处理服务，方案须全面、完整，对评审内容中的各项要求有详细描述； 能够紧扣本项目实际情况，针对本项目内容编写。 内容包括：①应急处置；满分2分 ②响应时间：保证紧急情况下快速进行故障处理。满分2分 备注：方案评审中存在缺陷的，每一项中每有1处内容缺陷扣0.5分，扣完为止。内容缺陷是指：非专门针对本项目或不适用项目特性的情形、内容不完整或缺少关键节点、逻辑混乱、套用其他项目方案、内容前后矛盾、涉及的规范或标准错误、不利于项目实施、不可能实现的情形等任意一种情形。</w:t>
            </w:r>
          </w:p>
        </w:tc>
        <w:tc>
          <w:tcPr>
            <w:tcW w:type="dxa" w:w="831"/>
          </w:tcPr>
          <w:p>
            <w:pPr>
              <w:pStyle w:val="null3"/>
              <w:jc w:val="right"/>
            </w:pPr>
            <w:r>
              <w:rPr/>
              <w:t>4.0000</w:t>
            </w:r>
          </w:p>
        </w:tc>
        <w:tc>
          <w:tcPr>
            <w:tcW w:type="dxa" w:w="831"/>
          </w:tcPr>
          <w:p>
            <w:pPr>
              <w:pStyle w:val="null3"/>
            </w:pPr>
            <w:r>
              <w:rPr/>
              <w:t>主观</w:t>
            </w:r>
          </w:p>
        </w:tc>
        <w:tc>
          <w:tcPr>
            <w:tcW w:type="dxa" w:w="1661"/>
          </w:tcPr>
          <w:p>
            <w:pPr>
              <w:pStyle w:val="null3"/>
            </w:pPr>
            <w:r>
              <w:rPr/>
              <w:t>项目方案</w:t>
            </w:r>
          </w:p>
        </w:tc>
      </w:tr>
      <w:tr>
        <w:tc>
          <w:tcPr>
            <w:tcW w:type="dxa" w:w="831"/>
            <w:vMerge/>
          </w:tcPr>
          <w:p/>
        </w:tc>
        <w:tc>
          <w:tcPr>
            <w:tcW w:type="dxa" w:w="1661"/>
          </w:tcPr>
          <w:p>
            <w:pPr>
              <w:pStyle w:val="null3"/>
            </w:pPr>
            <w:r>
              <w:rPr/>
              <w:t>培训方案</w:t>
            </w:r>
          </w:p>
        </w:tc>
        <w:tc>
          <w:tcPr>
            <w:tcW w:type="dxa" w:w="2492"/>
          </w:tcPr>
          <w:p>
            <w:pPr>
              <w:pStyle w:val="null3"/>
            </w:pPr>
            <w:r>
              <w:rPr/>
              <w:t>针对本项目制定培训方案，确保采购人能够熟练操作、维护和正常使用，方案须全面、完整，对评审内容中的各项要求有详细描述；能够紧扣本项目实际情况，针对本项目内容编写。 方案内容包含：①培训内容及技术指导；满分2分 ②培训方式及时间；满分2分 备注：方案评审中存在缺陷的，每一项中每有1处内容缺陷扣0.5分，扣完为止。内容缺陷是指：非专门针对本项目或不适用项目特性的情形、内容不完整或缺少关键节点、逻辑混乱、套用其他项目方案、内容前后矛盾、涉及的规范或标准错误、不利于项目实施、不可能实现的情形等任意一种情形。</w:t>
            </w:r>
          </w:p>
        </w:tc>
        <w:tc>
          <w:tcPr>
            <w:tcW w:type="dxa" w:w="831"/>
          </w:tcPr>
          <w:p>
            <w:pPr>
              <w:pStyle w:val="null3"/>
              <w:jc w:val="right"/>
            </w:pPr>
            <w:r>
              <w:rPr/>
              <w:t>4.0000</w:t>
            </w:r>
          </w:p>
        </w:tc>
        <w:tc>
          <w:tcPr>
            <w:tcW w:type="dxa" w:w="831"/>
          </w:tcPr>
          <w:p>
            <w:pPr>
              <w:pStyle w:val="null3"/>
            </w:pPr>
            <w:r>
              <w:rPr/>
              <w:t>主观</w:t>
            </w:r>
          </w:p>
        </w:tc>
        <w:tc>
          <w:tcPr>
            <w:tcW w:type="dxa" w:w="1661"/>
          </w:tcPr>
          <w:p>
            <w:pPr>
              <w:pStyle w:val="null3"/>
            </w:pPr>
            <w:r>
              <w:rPr/>
              <w:t>项目方案</w:t>
            </w:r>
          </w:p>
        </w:tc>
      </w:tr>
      <w:tr>
        <w:tc>
          <w:tcPr>
            <w:tcW w:type="dxa" w:w="831"/>
            <w:vMerge/>
          </w:tcPr>
          <w:p/>
        </w:tc>
        <w:tc>
          <w:tcPr>
            <w:tcW w:type="dxa" w:w="1661"/>
          </w:tcPr>
          <w:p>
            <w:pPr>
              <w:pStyle w:val="null3"/>
            </w:pPr>
            <w:r>
              <w:rPr/>
              <w:t>项目团队</w:t>
            </w:r>
          </w:p>
        </w:tc>
        <w:tc>
          <w:tcPr>
            <w:tcW w:type="dxa" w:w="2492"/>
          </w:tcPr>
          <w:p>
            <w:pPr>
              <w:pStyle w:val="null3"/>
            </w:pPr>
            <w:r>
              <w:rPr/>
              <w:t>投标人针对本项目提供人员保障方案。方案须全面、完整，对评审内容中的各项要求有详细描述； 能够紧扣本项目实际情况，针对本项目内容编写。 方案包含 ①管理机构及专业技术人员投入；满分2分 ②岗位职责制度；满分2分 备注：方案评审中存在缺陷的，每一项中每有1处内容缺陷扣0.5分，扣完为止。内容缺陷是指：非专门针对本项目或不适用项目特性的情形、内容不完整或缺少关键节点、逻辑混乱、套用其他项目方案、内容前后矛盾、涉及的规范或标准错误、不利于项目实施、不可能实现的情形等任意一种情形。</w:t>
            </w:r>
          </w:p>
        </w:tc>
        <w:tc>
          <w:tcPr>
            <w:tcW w:type="dxa" w:w="831"/>
          </w:tcPr>
          <w:p>
            <w:pPr>
              <w:pStyle w:val="null3"/>
              <w:jc w:val="right"/>
            </w:pPr>
            <w:r>
              <w:rPr/>
              <w:t>4.0000</w:t>
            </w:r>
          </w:p>
        </w:tc>
        <w:tc>
          <w:tcPr>
            <w:tcW w:type="dxa" w:w="831"/>
          </w:tcPr>
          <w:p>
            <w:pPr>
              <w:pStyle w:val="null3"/>
            </w:pPr>
            <w:r>
              <w:rPr/>
              <w:t>主观</w:t>
            </w:r>
          </w:p>
        </w:tc>
        <w:tc>
          <w:tcPr>
            <w:tcW w:type="dxa" w:w="1661"/>
          </w:tcPr>
          <w:p>
            <w:pPr>
              <w:pStyle w:val="null3"/>
            </w:pPr>
            <w:r>
              <w:rPr/>
              <w:t>项目方案</w:t>
            </w:r>
          </w:p>
        </w:tc>
      </w:tr>
      <w:tr>
        <w:tc>
          <w:tcPr>
            <w:tcW w:type="dxa" w:w="831"/>
            <w:vMerge/>
          </w:tcPr>
          <w:p/>
        </w:tc>
        <w:tc>
          <w:tcPr>
            <w:tcW w:type="dxa" w:w="1661"/>
          </w:tcPr>
          <w:p>
            <w:pPr>
              <w:pStyle w:val="null3"/>
            </w:pPr>
            <w:r>
              <w:rPr/>
              <w:t>售后服务</w:t>
            </w:r>
          </w:p>
        </w:tc>
        <w:tc>
          <w:tcPr>
            <w:tcW w:type="dxa" w:w="2492"/>
          </w:tcPr>
          <w:p>
            <w:pPr>
              <w:pStyle w:val="null3"/>
            </w:pPr>
            <w:r>
              <w:rPr/>
              <w:t>结合本项目实际情况，提供售后服务方案，方案须全面、完整，对评审内容中的各项要求有详细描述； 能够紧扣本项目实际情况，针对本项目内容编写。 方案包括： ①故障维修及应对措施；满分2分 ②质量保证范围；满分2分 ③拟投入售后服务人员配置情况；满分2分 ④日常维护；满分2分 ⑤响应时间。满分2分 备注：方案评审中存在缺陷的，每一项中每有1处内容缺陷扣0.5分，扣完为止。内容缺陷是指：非专门针对本项目或不适用项目特性的情形、内容不完整或缺少关键节点、逻辑混乱、套用其他项目方案、内容前后矛盾、涉及的规范或标准错误、不利于项目实施、不可能实现的情形等任意一种情形。</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项目方案</w:t>
            </w:r>
          </w:p>
        </w:tc>
      </w:tr>
      <w:tr>
        <w:tc>
          <w:tcPr>
            <w:tcW w:type="dxa" w:w="831"/>
            <w:vMerge/>
          </w:tcPr>
          <w:p/>
        </w:tc>
        <w:tc>
          <w:tcPr>
            <w:tcW w:type="dxa" w:w="1661"/>
          </w:tcPr>
          <w:p>
            <w:pPr>
              <w:pStyle w:val="null3"/>
            </w:pPr>
            <w:r>
              <w:rPr/>
              <w:t>业绩</w:t>
            </w:r>
          </w:p>
        </w:tc>
        <w:tc>
          <w:tcPr>
            <w:tcW w:type="dxa" w:w="2492"/>
          </w:tcPr>
          <w:p>
            <w:pPr>
              <w:pStyle w:val="null3"/>
            </w:pPr>
            <w:r>
              <w:rPr/>
              <w:t>近三年（2021年11月01日至今）来已完成类似项目业绩，每提供 1 个类似业绩证明材料得 1 分。未提供不得分，满分4分。（业绩证明材料为：合同协议书、验收单、须加盖公章）</w:t>
            </w:r>
          </w:p>
        </w:tc>
        <w:tc>
          <w:tcPr>
            <w:tcW w:type="dxa" w:w="831"/>
          </w:tcPr>
          <w:p>
            <w:pPr>
              <w:pStyle w:val="null3"/>
              <w:jc w:val="right"/>
            </w:pPr>
            <w:r>
              <w:rPr/>
              <w:t>4.0000</w:t>
            </w:r>
          </w:p>
        </w:tc>
        <w:tc>
          <w:tcPr>
            <w:tcW w:type="dxa" w:w="831"/>
          </w:tcPr>
          <w:p>
            <w:pPr>
              <w:pStyle w:val="null3"/>
            </w:pPr>
            <w:r>
              <w:rPr/>
              <w:t>客观</w:t>
            </w:r>
          </w:p>
        </w:tc>
        <w:tc>
          <w:tcPr>
            <w:tcW w:type="dxa" w:w="1661"/>
          </w:tcPr>
          <w:p>
            <w:pPr>
              <w:pStyle w:val="null3"/>
            </w:pPr>
            <w:r>
              <w:rPr/>
              <w:t>业绩</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ind w:firstLine="480"/>
      </w:pPr>
      <w:r>
        <w:rPr/>
        <w:t>说明：</w:t>
      </w:r>
    </w:p>
    <w:p>
      <w:pPr>
        <w:pStyle w:val="null3"/>
        <w:ind w:firstLine="480"/>
      </w:pPr>
      <w:r>
        <w:rPr/>
        <w:t>1、评分的取值按四舍五入法，保留小数点后两位；</w:t>
      </w:r>
    </w:p>
    <w:p>
      <w:pPr>
        <w:pStyle w:val="null3"/>
        <w:ind w:firstLine="480"/>
      </w:pPr>
      <w:r>
        <w:rPr/>
        <w:t>2、评分标准中要求提供复印件的证明材料须清晰可辨。</w:t>
      </w:r>
    </w:p>
    <w:p>
      <w:pPr>
        <w:pStyle w:val="null3"/>
        <w:ind w:firstLine="480"/>
      </w:pPr>
      <w:r>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sz w:val="28"/>
          <w:b/>
        </w:rPr>
        <w:t>5.7废标</w:t>
      </w:r>
    </w:p>
    <w:p>
      <w:pPr>
        <w:pStyle w:val="null3"/>
        <w:ind w:firstLine="480"/>
      </w:pPr>
      <w:r>
        <w:rPr/>
        <w:t>本次政府采购活动中，出现下列情形之一的，予以废标：</w:t>
      </w:r>
    </w:p>
    <w:p>
      <w:pPr>
        <w:pStyle w:val="null3"/>
        <w:ind w:firstLine="480"/>
      </w:pPr>
      <w:r>
        <w:rPr/>
        <w:t>一、符合专业条件的投标人或者对招标文件作实质响应的投标人不足三家的；</w:t>
      </w:r>
    </w:p>
    <w:p>
      <w:pPr>
        <w:pStyle w:val="null3"/>
        <w:ind w:firstLine="480"/>
      </w:pPr>
      <w:r>
        <w:rPr/>
        <w:t>二、出现影响采购公正的违法、违规行为的；</w:t>
      </w:r>
    </w:p>
    <w:p>
      <w:pPr>
        <w:pStyle w:val="null3"/>
        <w:ind w:firstLine="480"/>
      </w:pPr>
      <w:r>
        <w:rPr/>
        <w:t>三、投标人的报价均超过了采购预算，采购人不能支付的；</w:t>
      </w:r>
    </w:p>
    <w:p>
      <w:pPr>
        <w:pStyle w:val="null3"/>
        <w:ind w:firstLine="480"/>
      </w:pPr>
      <w:r>
        <w:rPr/>
        <w:t>四、因重大变故，采购任务取消的；</w:t>
      </w:r>
    </w:p>
    <w:p>
      <w:pPr>
        <w:pStyle w:val="null3"/>
        <w:ind w:firstLine="480"/>
      </w:pPr>
      <w:r>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sz w:val="28"/>
          <w:b/>
        </w:rPr>
        <w:t>5.8定标</w:t>
      </w:r>
    </w:p>
    <w:p>
      <w:pPr>
        <w:pStyle w:val="null3"/>
        <w:outlineLvl w:val="3"/>
      </w:pPr>
      <w:r>
        <w:rPr>
          <w:sz w:val="24"/>
          <w:b/>
        </w:rPr>
        <w:t>5.8.1 定标原则</w:t>
      </w:r>
    </w:p>
    <w:p>
      <w:pPr>
        <w:pStyle w:val="null3"/>
      </w:pPr>
      <w:r>
        <w:rPr/>
        <w:t>采购人在评标报告确定的中标候选人名单中按顺序确定1名中标人。中标候选人并列的，由采购人采取随机抽取的方式确定中标人。</w:t>
      </w:r>
    </w:p>
    <w:p>
      <w:pPr>
        <w:pStyle w:val="null3"/>
        <w:outlineLvl w:val="3"/>
      </w:pPr>
      <w:r>
        <w:rPr>
          <w:sz w:val="24"/>
          <w:b/>
        </w:rPr>
        <w:t>5.8.2定标程序</w:t>
      </w:r>
    </w:p>
    <w:p>
      <w:pPr>
        <w:pStyle w:val="null3"/>
      </w:pPr>
      <w:r>
        <w:rPr/>
        <w:t>一、评标委员会在项目电子化交易系统中编制评标情况，生成评标报告。</w:t>
      </w:r>
    </w:p>
    <w:p>
      <w:pPr>
        <w:pStyle w:val="null3"/>
      </w:pPr>
      <w:r>
        <w:rPr/>
        <w:t>二、代理机构在评标结束之日起2个工作日内将评标报告送采购人。</w:t>
      </w:r>
    </w:p>
    <w:p>
      <w:pPr>
        <w:pStyle w:val="null3"/>
      </w:pPr>
      <w:r>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t>四、根据确定的中标供应商，代理机构在陕西省政府采购网上发布中标结果公告，通过项目电子化交易系统向中标供应商发出中标通知书。</w:t>
      </w:r>
    </w:p>
    <w:p>
      <w:pPr>
        <w:pStyle w:val="null3"/>
        <w:outlineLvl w:val="2"/>
      </w:pPr>
      <w:r>
        <w:rPr>
          <w:sz w:val="28"/>
          <w:b/>
        </w:rPr>
        <w:t>5.9评审专家在政府采购活动中承担以下义务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5.10评审专家在政府采购活动中应当遵守以下工作纪律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 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第六章 投标文件格式</w:t>
      </w:r>
    </w:p>
    <w:p>
      <w:pPr>
        <w:pStyle w:val="null3"/>
      </w:pPr>
      <w:r>
        <w:rPr/>
        <w:t>采购包1：</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详见附件：投标人应提交的相关资格证明材料</w:t>
      </w:r>
    </w:p>
    <w:p>
      <w:pPr>
        <w:pStyle w:val="null3"/>
        <w:ind w:firstLine="960"/>
      </w:pPr>
      <w:r>
        <w:rPr/>
        <w:t>详见附件：产品技术参数表</w:t>
      </w:r>
    </w:p>
    <w:p>
      <w:pPr>
        <w:pStyle w:val="null3"/>
        <w:ind w:firstLine="960"/>
      </w:pPr>
      <w:r>
        <w:rPr/>
        <w:t>详见附件：商务应答表</w:t>
      </w:r>
    </w:p>
    <w:p>
      <w:pPr>
        <w:pStyle w:val="null3"/>
        <w:ind w:firstLine="960"/>
      </w:pPr>
      <w:r>
        <w:rPr/>
        <w:t>详见附件：开标一览表</w:t>
      </w:r>
    </w:p>
    <w:p>
      <w:pPr>
        <w:pStyle w:val="null3"/>
        <w:ind w:firstLine="960"/>
      </w:pPr>
      <w:r>
        <w:rPr/>
        <w:t>详见附件：标的清单</w:t>
      </w:r>
    </w:p>
    <w:p>
      <w:pPr>
        <w:pStyle w:val="null3"/>
        <w:ind w:firstLine="960"/>
      </w:pPr>
      <w:r>
        <w:rPr/>
        <w:t>详见附件：业绩</w:t>
      </w:r>
    </w:p>
    <w:p>
      <w:pPr>
        <w:pStyle w:val="null3"/>
        <w:ind w:firstLine="960"/>
      </w:pPr>
      <w:r>
        <w:rPr/>
        <w:t>详见附件：项目方案</w:t>
      </w:r>
    </w:p>
    <w:p>
      <w:pPr>
        <w:pStyle w:val="null3"/>
      </w:pPr>
      <w:r>
        <w:rPr/>
        <w:t xml:space="preserve"> </w:t>
        <w:br/>
        <w:br w:type="page"/>
      </w:r>
    </w:p>
    <w:p>
      <w:pPr>
        <w:pStyle w:val="null3"/>
        <w:jc w:val="center"/>
        <w:outlineLvl w:val="1"/>
      </w:pPr>
      <w:r>
        <w:rPr>
          <w:sz w:val="36"/>
          <w:b/>
        </w:rPr>
        <w:t>第七章 拟签订合同文本</w:t>
      </w:r>
    </w:p>
    <w:p>
      <w:pPr>
        <w:pStyle w:val="null3"/>
      </w:pPr>
      <w:r>
        <w:rPr/>
        <w:t>详见附件：合同范本.docx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