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铜川市印台区农村饮水监测中心能力提升项目</w:t>
      </w:r>
    </w:p>
    <w:p>
      <w:pPr>
        <w:pStyle w:val="null3"/>
        <w:jc w:val="center"/>
        <w:outlineLvl w:val="2"/>
      </w:pPr>
      <w:r>
        <w:rPr>
          <w:b/>
          <w:sz w:val="28"/>
        </w:rPr>
        <w:t>采购项目编号：</w:t>
      </w:r>
      <w:r>
        <w:rPr>
          <w:b/>
          <w:sz w:val="28"/>
        </w:rPr>
        <w:t>HGMHCG-2024-28</w:t>
      </w:r>
      <w:r>
        <w:br/>
      </w:r>
      <w:r>
        <w:br/>
      </w:r>
      <w:r>
        <w:br/>
      </w:r>
    </w:p>
    <w:p>
      <w:pPr>
        <w:pStyle w:val="null3"/>
        <w:jc w:val="center"/>
        <w:outlineLvl w:val="2"/>
      </w:pPr>
      <w:r>
        <w:rPr>
          <w:b/>
          <w:sz w:val="28"/>
        </w:rPr>
        <w:t>铜川市印台区水务局</w:t>
      </w:r>
    </w:p>
    <w:p>
      <w:pPr>
        <w:pStyle w:val="null3"/>
        <w:jc w:val="center"/>
        <w:outlineLvl w:val="2"/>
      </w:pPr>
      <w:r>
        <w:rPr>
          <w:b/>
          <w:sz w:val="28"/>
        </w:rPr>
        <w:t>陕西恒广茂禾项目管理有限公司</w:t>
      </w:r>
      <w:r>
        <w:rPr>
          <w:b/>
          <w:sz w:val="28"/>
        </w:rPr>
        <w:t>共同编制</w:t>
      </w:r>
    </w:p>
    <w:p>
      <w:pPr>
        <w:pStyle w:val="null3"/>
        <w:jc w:val="center"/>
        <w:outlineLvl w:val="2"/>
      </w:pPr>
      <w:r>
        <w:rPr>
          <w:b/>
          <w:sz w:val="28"/>
        </w:rPr>
        <w:t>2024年04月23日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陕西恒广茂禾项目管理有限公司</w:t>
      </w:r>
      <w:r>
        <w:rPr/>
        <w:t>（以下简称“代理机构”）受</w:t>
      </w:r>
      <w:r>
        <w:rPr/>
        <w:t>铜川市印台区水务局</w:t>
      </w:r>
      <w:r>
        <w:rPr/>
        <w:t>委托，拟对</w:t>
      </w:r>
      <w:r>
        <w:rPr/>
        <w:t>铜川市印台区农村饮水监测中心能力提升项目</w:t>
      </w:r>
      <w:r>
        <w:rPr/>
        <w:t>进行国内公开招标，兹邀请符合本次招标要求的供应商参加投标。</w:t>
      </w:r>
    </w:p>
    <w:p>
      <w:pPr>
        <w:pStyle w:val="null3"/>
        <w:outlineLvl w:val="2"/>
      </w:pPr>
      <w:r>
        <w:rPr>
          <w:b/>
          <w:sz w:val="28"/>
        </w:rPr>
        <w:t>一、采购项目编号：</w:t>
      </w:r>
      <w:r>
        <w:rPr>
          <w:b/>
          <w:sz w:val="28"/>
        </w:rPr>
        <w:t>HGMHCG-2024-28</w:t>
      </w:r>
    </w:p>
    <w:p>
      <w:pPr>
        <w:pStyle w:val="null3"/>
        <w:outlineLvl w:val="2"/>
      </w:pPr>
      <w:r>
        <w:rPr>
          <w:b/>
          <w:sz w:val="28"/>
        </w:rPr>
        <w:t>二、采购项目名称：</w:t>
      </w:r>
      <w:r>
        <w:rPr>
          <w:b/>
          <w:sz w:val="28"/>
        </w:rPr>
        <w:t>铜川市印台区农村饮水监测中心能力提升项目</w:t>
      </w:r>
    </w:p>
    <w:p>
      <w:pPr>
        <w:pStyle w:val="null3"/>
        <w:outlineLvl w:val="2"/>
      </w:pPr>
      <w:r>
        <w:rPr>
          <w:b/>
          <w:sz w:val="28"/>
        </w:rPr>
        <w:t>三、招标项目简介</w:t>
      </w:r>
    </w:p>
    <w:p>
      <w:pPr>
        <w:pStyle w:val="null3"/>
        <w:ind w:firstLine="480"/>
      </w:pPr>
      <w:r>
        <w:rPr/>
        <w:t>铜川市印台区农村饮水监测中心能力提升项目（详见招标文件第三章）</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t>2、依法缴纳税收和社会保障资金相关材料（投标截止日前6个月任意二个月）：依法缴纳税收和社会保障资金相关材料（投标截止日前6个月任意二个月）。</w:t>
      </w:r>
    </w:p>
    <w:p>
      <w:pPr>
        <w:pStyle w:val="null3"/>
      </w:pPr>
      <w:r>
        <w:rPr/>
        <w:t>3、具有履行合同所必需的设备和专业技术能力（提供承诺函）：具有履行合同所必需的设备和专业技术能力（提供承诺函）。</w:t>
      </w:r>
    </w:p>
    <w:p>
      <w:pPr>
        <w:pStyle w:val="null3"/>
      </w:pPr>
      <w:r>
        <w:rPr/>
        <w:t>4、出具本企业参加政府采购活动前三年内经营活动中没有重大违法记录的书面声明：出具本企业参加政府采购活动前三年内经营活动中没有重大违法记录的书面声明。</w:t>
      </w:r>
    </w:p>
    <w:p>
      <w:pPr>
        <w:pStyle w:val="null3"/>
      </w:pPr>
      <w:r>
        <w:rPr/>
        <w:t>5、供应商需提供2022年或2023年度财务审计报告或提供文件递交截止日前三个月从基本户银行开具的资信证明。：供应商需提供2022年或2023年度财务审计报告或提供文件递交截止日前三个月从基本户银行开具的资信证明。</w:t>
      </w:r>
    </w:p>
    <w:p>
      <w:pPr>
        <w:pStyle w:val="null3"/>
      </w:pPr>
      <w:r>
        <w:rPr/>
        <w:t>6、供应商不得为“信用中国”中列入失信被执行人和重大税收违法案件当事人名单的供应商，不得为“中国政府采购网”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pPr>
      <w:r>
        <w:rPr/>
        <w:t>7、法定代表人直接参加投标的，须出具法人身份证；授权代表参加投标的，须出具授权书及授权代表身份证。：法定代表人直接参加投标的，须出具法人身份证；授权代表参加投标的，须出具授权书及授权代表身份证。</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铜川市印台区水务局</w:t>
      </w:r>
    </w:p>
    <w:p>
      <w:pPr>
        <w:pStyle w:val="null3"/>
      </w:pPr>
      <w:r>
        <w:rPr/>
        <w:t xml:space="preserve"> 地址： </w:t>
      </w:r>
      <w:r>
        <w:rPr/>
        <w:t>铜川市印台区</w:t>
      </w:r>
    </w:p>
    <w:p>
      <w:pPr>
        <w:pStyle w:val="null3"/>
      </w:pPr>
      <w:r>
        <w:rPr/>
        <w:t xml:space="preserve"> 邮编： </w:t>
      </w:r>
      <w:r>
        <w:rPr/>
        <w:t>727000</w:t>
      </w:r>
    </w:p>
    <w:p>
      <w:pPr>
        <w:pStyle w:val="null3"/>
      </w:pPr>
      <w:r>
        <w:rPr/>
        <w:t xml:space="preserve"> 联系人： </w:t>
      </w:r>
      <w:r>
        <w:rPr/>
        <w:t>铜川市印台区水务局经办</w:t>
      </w:r>
    </w:p>
    <w:p>
      <w:pPr>
        <w:pStyle w:val="null3"/>
      </w:pPr>
      <w:r>
        <w:rPr/>
        <w:t xml:space="preserve"> 联系电话： </w:t>
      </w:r>
      <w:r>
        <w:rPr/>
        <w:t>0919-2683110</w:t>
      </w:r>
    </w:p>
    <w:p>
      <w:pPr>
        <w:pStyle w:val="null3"/>
        <w:outlineLvl w:val="2"/>
      </w:pPr>
      <w:r>
        <w:rPr>
          <w:b/>
          <w:sz w:val="28"/>
        </w:rPr>
        <w:t>代理机构：</w:t>
      </w:r>
      <w:r>
        <w:rPr>
          <w:b/>
          <w:sz w:val="28"/>
        </w:rPr>
        <w:t>陕西恒广茂禾项目管理有限公司</w:t>
      </w:r>
    </w:p>
    <w:p>
      <w:pPr>
        <w:pStyle w:val="null3"/>
      </w:pPr>
      <w:r>
        <w:rPr/>
        <w:t xml:space="preserve"> 地址： </w:t>
      </w:r>
      <w:r>
        <w:rPr/>
        <w:t>陕西省铜川市市辖区陕西省铜川市新区长虹南路山水雅庭3幢1单元10901室</w:t>
      </w:r>
    </w:p>
    <w:p>
      <w:pPr>
        <w:pStyle w:val="null3"/>
      </w:pPr>
      <w:r>
        <w:rPr/>
        <w:t xml:space="preserve"> 邮编： </w:t>
      </w:r>
      <w:r>
        <w:rPr/>
        <w:t>727031</w:t>
      </w:r>
    </w:p>
    <w:p>
      <w:pPr>
        <w:pStyle w:val="null3"/>
      </w:pPr>
      <w:r>
        <w:rPr/>
        <w:t xml:space="preserve"> 联系人： </w:t>
      </w:r>
      <w:r>
        <w:rPr/>
        <w:t>杨倩</w:t>
      </w:r>
    </w:p>
    <w:p>
      <w:pPr>
        <w:pStyle w:val="null3"/>
      </w:pPr>
      <w:r>
        <w:rPr/>
        <w:t xml:space="preserve"> 联系电话： </w:t>
      </w:r>
      <w:r>
        <w:rPr/>
        <w:t>15353839221</w:t>
      </w:r>
    </w:p>
    <w:p>
      <w:pPr>
        <w:pStyle w:val="null3"/>
        <w:outlineLvl w:val="2"/>
      </w:pPr>
      <w:r>
        <w:rPr>
          <w:b/>
          <w:sz w:val="28"/>
        </w:rPr>
        <w:t>采购监督机构：</w:t>
      </w:r>
      <w:r>
        <w:rPr>
          <w:b/>
          <w:sz w:val="28"/>
        </w:rPr>
        <w:t>铜川市印台区政府采购管理股</w:t>
      </w:r>
    </w:p>
    <w:p>
      <w:pPr>
        <w:pStyle w:val="null3"/>
        <w:ind w:firstLine="480"/>
      </w:pPr>
      <w:r>
        <w:rPr/>
        <w:t>联系人：</w:t>
      </w:r>
      <w:r>
        <w:rPr/>
        <w:t>孟科长</w:t>
      </w:r>
    </w:p>
    <w:p>
      <w:pPr>
        <w:pStyle w:val="null3"/>
        <w:ind w:firstLine="480"/>
      </w:pPr>
      <w:r>
        <w:rPr/>
        <w:t>联系电话：</w:t>
      </w:r>
      <w:r>
        <w:rPr/>
        <w:t>0919-4191018</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采购包1：1,125,000.00元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铜川市印台区水务局</w:t>
      </w:r>
      <w:r>
        <w:rPr/>
        <w:t>和</w:t>
      </w:r>
      <w:r>
        <w:rPr/>
        <w:t>陕西恒广茂禾项目管理有限公司</w:t>
      </w:r>
      <w:r>
        <w:rPr/>
        <w:t>享有。对招标文件中供应商参加本次政府采购活动应当具备的条件，招标项目技术、服务、商务及其他要求，评标细则及标准由</w:t>
      </w:r>
      <w:r>
        <w:rPr/>
        <w:t>铜川市印台区水务局</w:t>
      </w:r>
      <w:r>
        <w:rPr/>
        <w:t>负责解释。除上述招标文件内容，其他内容由</w:t>
      </w:r>
      <w:r>
        <w:rPr/>
        <w:t>陕西恒广茂禾项目管理有限公司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铜川市印台区水务局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陕西恒广茂禾项目管理有限公司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满足采购人要求，达到合格标准</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陕西恒广茂禾项目管理有限公司</w:t>
      </w:r>
      <w:r>
        <w:rPr/>
        <w:t xml:space="preserve"> 负责答复；供应商对除采购需求外的采购文件的询问、质疑由</w:t>
      </w:r>
      <w:r>
        <w:rPr/>
        <w:t>陕西恒广茂禾项目管理有限公司</w:t>
      </w:r>
      <w:r>
        <w:rPr/>
        <w:t xml:space="preserve"> 负责答复；供应商对采购过程、采购结果的询问、质疑由 </w:t>
      </w:r>
      <w:r>
        <w:rPr/>
        <w:t>陕西恒广茂禾项目管理有限公司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联系人：杨倩</w:t>
      </w:r>
    </w:p>
    <w:p>
      <w:pPr>
        <w:pStyle w:val="null3"/>
      </w:pPr>
      <w:r>
        <w:rPr/>
        <w:t>联系电话：15353839221</w:t>
      </w:r>
    </w:p>
    <w:p>
      <w:pPr>
        <w:pStyle w:val="null3"/>
      </w:pPr>
      <w:r>
        <w:rPr/>
        <w:t>地址：陕西省铜川市新区长虹南路山水雅庭3幢1单元10901室</w:t>
      </w:r>
    </w:p>
    <w:p>
      <w:pPr>
        <w:pStyle w:val="null3"/>
      </w:pPr>
      <w:r>
        <w:rPr/>
        <w:t>邮编：727031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 xml:space="preserve"> 铜川市印台区农村饮水监测中心能力提升项目</w:t>
      </w:r>
    </w:p>
    <w:p>
      <w:pPr>
        <w:pStyle w:val="null3"/>
        <w:outlineLvl w:val="2"/>
      </w:pPr>
      <w:r>
        <w:rPr>
          <w:b/>
          <w:sz w:val="28"/>
        </w:rPr>
        <w:t>3.2采购内容</w:t>
      </w:r>
    </w:p>
    <w:p>
      <w:pPr>
        <w:pStyle w:val="null3"/>
      </w:pPr>
      <w:r>
        <w:rPr/>
        <w:t>采购包1：</w:t>
      </w:r>
    </w:p>
    <w:p>
      <w:pPr>
        <w:pStyle w:val="null3"/>
      </w:pPr>
      <w:r>
        <w:rPr/>
        <w:t>采购包预算金额（元）: 1,125,000.00</w:t>
      </w:r>
    </w:p>
    <w:p>
      <w:pPr>
        <w:pStyle w:val="null3"/>
      </w:pPr>
      <w:r>
        <w:rPr/>
        <w:t>采购包最高限价（元）: 1,125,000.00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淋洗液发生器及氮气加压装置</w:t>
            </w:r>
          </w:p>
        </w:tc>
        <w:tc>
          <w:tcPr>
            <w:tcW w:type="dxa" w:w="831"/>
          </w:tcPr>
          <w:p>
            <w:pPr>
              <w:pStyle w:val="null3"/>
              <w:jc w:val="right"/>
            </w:pPr>
            <w:r>
              <w:rPr/>
              <w:t>1.00</w:t>
            </w:r>
          </w:p>
        </w:tc>
        <w:tc>
          <w:tcPr>
            <w:tcW w:type="dxa" w:w="831"/>
          </w:tcPr>
          <w:p>
            <w:pPr>
              <w:pStyle w:val="null3"/>
              <w:jc w:val="right"/>
            </w:pPr>
            <w:r>
              <w:rPr/>
              <w:t>115,000.00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全自动连续流动分析仪</w:t>
            </w:r>
          </w:p>
        </w:tc>
        <w:tc>
          <w:tcPr>
            <w:tcW w:type="dxa" w:w="831"/>
          </w:tcPr>
          <w:p>
            <w:pPr>
              <w:pStyle w:val="null3"/>
              <w:jc w:val="right"/>
            </w:pPr>
            <w:r>
              <w:rPr/>
              <w:t>1.00</w:t>
            </w:r>
          </w:p>
        </w:tc>
        <w:tc>
          <w:tcPr>
            <w:tcW w:type="dxa" w:w="831"/>
          </w:tcPr>
          <w:p>
            <w:pPr>
              <w:pStyle w:val="null3"/>
              <w:jc w:val="right"/>
            </w:pPr>
            <w:r>
              <w:rPr/>
              <w:t>230,000.00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生化培养箱</w:t>
            </w:r>
          </w:p>
        </w:tc>
        <w:tc>
          <w:tcPr>
            <w:tcW w:type="dxa" w:w="831"/>
          </w:tcPr>
          <w:p>
            <w:pPr>
              <w:pStyle w:val="null3"/>
              <w:jc w:val="right"/>
            </w:pPr>
            <w:r>
              <w:rPr/>
              <w:t>1.00</w:t>
            </w:r>
          </w:p>
        </w:tc>
        <w:tc>
          <w:tcPr>
            <w:tcW w:type="dxa" w:w="831"/>
          </w:tcPr>
          <w:p>
            <w:pPr>
              <w:pStyle w:val="null3"/>
              <w:jc w:val="right"/>
            </w:pPr>
            <w:r>
              <w:rPr/>
              <w:t>25,000.00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标准版便携式水质检测仪</w:t>
            </w:r>
          </w:p>
        </w:tc>
        <w:tc>
          <w:tcPr>
            <w:tcW w:type="dxa" w:w="831"/>
          </w:tcPr>
          <w:p>
            <w:pPr>
              <w:pStyle w:val="null3"/>
              <w:jc w:val="right"/>
            </w:pPr>
            <w:r>
              <w:rPr/>
              <w:t>1.00</w:t>
            </w:r>
          </w:p>
        </w:tc>
        <w:tc>
          <w:tcPr>
            <w:tcW w:type="dxa" w:w="831"/>
          </w:tcPr>
          <w:p>
            <w:pPr>
              <w:pStyle w:val="null3"/>
              <w:jc w:val="right"/>
            </w:pPr>
            <w:r>
              <w:rPr/>
              <w:t>170,000.00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气相色谱仪</w:t>
            </w:r>
          </w:p>
        </w:tc>
        <w:tc>
          <w:tcPr>
            <w:tcW w:type="dxa" w:w="831"/>
          </w:tcPr>
          <w:p>
            <w:pPr>
              <w:pStyle w:val="null3"/>
              <w:jc w:val="right"/>
            </w:pPr>
            <w:r>
              <w:rPr/>
              <w:t>1.00</w:t>
            </w:r>
          </w:p>
        </w:tc>
        <w:tc>
          <w:tcPr>
            <w:tcW w:type="dxa" w:w="831"/>
          </w:tcPr>
          <w:p>
            <w:pPr>
              <w:pStyle w:val="null3"/>
              <w:jc w:val="right"/>
            </w:pPr>
            <w:r>
              <w:rPr/>
              <w:t>235,000.00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自动进样器（原子吸收）</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固体溶解物仪</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程控定量封口机</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认证培训服务</w:t>
            </w:r>
          </w:p>
        </w:tc>
        <w:tc>
          <w:tcPr>
            <w:tcW w:type="dxa" w:w="831"/>
          </w:tcPr>
          <w:p>
            <w:pPr>
              <w:pStyle w:val="null3"/>
              <w:jc w:val="right"/>
            </w:pPr>
            <w:r>
              <w:rPr/>
              <w:t>1.00</w:t>
            </w:r>
          </w:p>
        </w:tc>
        <w:tc>
          <w:tcPr>
            <w:tcW w:type="dxa" w:w="831"/>
          </w:tcPr>
          <w:p>
            <w:pPr>
              <w:pStyle w:val="null3"/>
              <w:jc w:val="right"/>
            </w:pPr>
            <w:r>
              <w:rPr/>
              <w:t>180,000.00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标的名称：淋洗液发生器及氮气加压装置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1.流量范围:0.001～3.000ml/min；2、淋洗液浓度范围:KOH0.1～100.0mM；3、浓度准确度:0.1mM；4、电解液原始浓度:25% KOH/MSA；5、电解液体积:1000mL；6、最大工作压强:21MPa（3000psi）；7、兼容有机溶剂最大浓度:25%甲醇；8、梯度准确度：1.5%（提供省级计量院权威证明文件）；9、梯度精度：0.2%（提供省级计量院权威证明文件）</w:t>
            </w:r>
            <w:r>
              <w:br/>
            </w:r>
            <w:r>
              <w:rPr/>
              <w:t xml:space="preserve"> 抑制器：原厂生产自动电解自动连续再生微膜抑制器，无需外加硫酸进行轮流再生。具有高容量，免维护，低背景电导，低噪声和稳定的基线，无需蠕动泵等其他辅助设备。</w:t>
            </w:r>
            <w:r>
              <w:br/>
            </w:r>
            <w:r>
              <w:rPr/>
              <w:t xml:space="preserve"> 配置清单：</w:t>
            </w:r>
            <w:r>
              <w:br/>
            </w:r>
            <w:r>
              <w:rPr/>
              <w:t xml:space="preserve"> 1、淋洗液发生器1台；2、氢氧根阴离子色谱柱1根；3、氢氧根阴离子保护柱1根；4、阴离子抑制器1个；5、氮气加压装置1套；6、高纯氮气1瓶</w:t>
            </w:r>
          </w:p>
        </w:tc>
      </w:tr>
    </w:tbl>
    <w:p>
      <w:pPr>
        <w:pStyle w:val="null3"/>
      </w:pPr>
      <w:r>
        <w:rPr/>
        <w:t>标的名称：全自动连续流动分析仪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分析项目：氰化物；测量范围：0.005～0.2mg/L；检出限：≦0.0005 mg/L； 重复性≦1%； 相关系数≥0.999</w:t>
            </w:r>
          </w:p>
        </w:tc>
      </w:tr>
    </w:tbl>
    <w:p>
      <w:pPr>
        <w:pStyle w:val="null3"/>
      </w:pPr>
      <w:r>
        <w:rPr/>
        <w:t>标的名称：生化培养箱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控温范围：0-70℃；分辨率：0.1℃；波动度：±0.5℃（加热）±0.7℃（制冷）；均匀度：±1℃（37℃时）；输入功率：1000W；定时范围：0-9999min/h；内胆尺寸(mm)：510×390×760；外形尺寸(mm)：650×680×1400；载物托架【标配/最多】：3/5块</w:t>
            </w:r>
          </w:p>
        </w:tc>
      </w:tr>
    </w:tbl>
    <w:p>
      <w:pPr>
        <w:pStyle w:val="null3"/>
      </w:pPr>
      <w:r>
        <w:rPr/>
        <w:t>标的名称：标准版便携式水质检测仪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内含：微生物检测部分：数字控温培养箱；38.1g月桂基硫酸盐培养基；铝质培养皿×20及支架；膜垫分配器；可充电 12V 培养箱电池；吸收垫×200；</w:t>
            </w:r>
            <w:r>
              <w:br/>
            </w:r>
            <w:r>
              <w:rPr/>
              <w:t xml:space="preserve"> 通用变压器 220-240V；培养基称量装置×5；膜过滤套件 φ47mm；0.45μm 滤膜×200；12V车载电源线；菌落总数预制式营养盘×10；手压式真空过滤泵；脱氯用硫代硫酸钠</w:t>
            </w:r>
            <w:r>
              <w:br/>
            </w:r>
            <w:r>
              <w:rPr/>
              <w:t xml:space="preserve"> 物化检测部分：</w:t>
            </w:r>
            <w:r>
              <w:br/>
            </w:r>
            <w:r>
              <w:rPr/>
              <w:t xml:space="preserve"> 7100多参数水质分析仪；袖珍pH/电导率/TDS笔；标准检测项目试剂包一套pH=7；10校准缓冲溶液；浊度计一套 1412μS；校准用电导率标液</w:t>
            </w:r>
          </w:p>
        </w:tc>
      </w:tr>
    </w:tbl>
    <w:p>
      <w:pPr>
        <w:pStyle w:val="null3"/>
      </w:pPr>
      <w:r>
        <w:rPr/>
        <w:t>标的名称：气相色谱仪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b/>
                <w:sz w:val="21"/>
              </w:rPr>
              <w:t>1   工作条件</w:t>
            </w:r>
          </w:p>
          <w:p>
            <w:pPr>
              <w:pStyle w:val="null3"/>
              <w:jc w:val="left"/>
            </w:pPr>
            <w:r>
              <w:rPr>
                <w:rFonts w:ascii="宋体" w:hAnsi="宋体" w:cs="宋体" w:eastAsia="宋体"/>
                <w:sz w:val="21"/>
              </w:rPr>
              <w:t>1.1 工作环境温度： 5℃—35℃</w:t>
            </w:r>
          </w:p>
          <w:p>
            <w:pPr>
              <w:pStyle w:val="null3"/>
              <w:jc w:val="left"/>
            </w:pPr>
            <w:r>
              <w:rPr>
                <w:rFonts w:ascii="宋体" w:hAnsi="宋体" w:cs="宋体" w:eastAsia="宋体"/>
                <w:sz w:val="21"/>
              </w:rPr>
              <w:t>1.2 工作环境湿度； 25%—80%</w:t>
            </w:r>
          </w:p>
          <w:p>
            <w:pPr>
              <w:pStyle w:val="null3"/>
              <w:jc w:val="left"/>
            </w:pPr>
            <w:r>
              <w:rPr>
                <w:rFonts w:ascii="宋体" w:hAnsi="宋体" w:cs="宋体" w:eastAsia="宋体"/>
                <w:sz w:val="21"/>
              </w:rPr>
              <w:t>1.3 工作电源： 220V±10%,50Hz</w:t>
            </w:r>
          </w:p>
          <w:p>
            <w:pPr>
              <w:pStyle w:val="null3"/>
              <w:jc w:val="left"/>
            </w:pPr>
            <w:r>
              <w:rPr>
                <w:rFonts w:ascii="宋体" w:hAnsi="宋体" w:cs="宋体" w:eastAsia="宋体"/>
                <w:b/>
                <w:sz w:val="21"/>
              </w:rPr>
              <w:t>2  气相色谱主机</w:t>
            </w:r>
          </w:p>
          <w:p>
            <w:pPr>
              <w:pStyle w:val="null3"/>
              <w:jc w:val="left"/>
            </w:pPr>
            <w:r>
              <w:rPr>
                <w:rFonts w:ascii="宋体" w:hAnsi="宋体" w:cs="宋体" w:eastAsia="宋体"/>
                <w:sz w:val="21"/>
              </w:rPr>
              <w:t>2.1 保留时间重复性＜0.008%</w:t>
            </w:r>
          </w:p>
          <w:p>
            <w:pPr>
              <w:pStyle w:val="null3"/>
              <w:jc w:val="left"/>
            </w:pPr>
            <w:r>
              <w:rPr>
                <w:rFonts w:ascii="宋体" w:hAnsi="宋体" w:cs="宋体" w:eastAsia="宋体"/>
                <w:sz w:val="21"/>
              </w:rPr>
              <w:t>2.2 峰面积重复性＜1%</w:t>
            </w:r>
          </w:p>
          <w:p>
            <w:pPr>
              <w:pStyle w:val="null3"/>
              <w:jc w:val="left"/>
            </w:pPr>
            <w:r>
              <w:rPr>
                <w:rFonts w:ascii="宋体" w:hAnsi="宋体" w:cs="宋体" w:eastAsia="宋体"/>
                <w:sz w:val="21"/>
              </w:rPr>
              <w:t>2.3 电子流量控制（AFC/EPC）:所有流量、压力均可以电子控制</w:t>
            </w:r>
          </w:p>
          <w:p>
            <w:pPr>
              <w:pStyle w:val="null3"/>
              <w:jc w:val="left"/>
            </w:pPr>
            <w:r>
              <w:rPr>
                <w:rFonts w:ascii="宋体" w:hAnsi="宋体" w:cs="宋体" w:eastAsia="宋体"/>
                <w:sz w:val="21"/>
              </w:rPr>
              <w:t>2.4 压力控制精度：0.001psi</w:t>
            </w:r>
          </w:p>
          <w:p>
            <w:pPr>
              <w:pStyle w:val="null3"/>
              <w:jc w:val="left"/>
            </w:pPr>
            <w:r>
              <w:rPr>
                <w:rFonts w:ascii="宋体" w:hAnsi="宋体" w:cs="宋体" w:eastAsia="宋体"/>
                <w:sz w:val="21"/>
              </w:rPr>
              <w:t>2.5 可以同时安装两个进样口</w:t>
            </w:r>
          </w:p>
          <w:p>
            <w:pPr>
              <w:pStyle w:val="null3"/>
              <w:jc w:val="left"/>
            </w:pPr>
            <w:r>
              <w:rPr>
                <w:rFonts w:ascii="宋体" w:hAnsi="宋体" w:cs="宋体" w:eastAsia="宋体"/>
                <w:sz w:val="21"/>
              </w:rPr>
              <w:t>2.6 可以同时安装三个检测器</w:t>
            </w:r>
          </w:p>
          <w:p>
            <w:pPr>
              <w:pStyle w:val="null3"/>
              <w:jc w:val="left"/>
            </w:pPr>
            <w:r>
              <w:rPr>
                <w:rFonts w:ascii="宋体" w:hAnsi="宋体" w:cs="宋体" w:eastAsia="宋体"/>
                <w:sz w:val="21"/>
              </w:rPr>
              <w:t>2.7 除柱温箱外，可提供8路独立直流加热单元</w:t>
            </w:r>
          </w:p>
          <w:p>
            <w:pPr>
              <w:pStyle w:val="null3"/>
              <w:jc w:val="left"/>
            </w:pPr>
            <w:r>
              <w:rPr>
                <w:rFonts w:ascii="宋体" w:hAnsi="宋体" w:cs="宋体" w:eastAsia="宋体"/>
                <w:sz w:val="21"/>
              </w:rPr>
              <w:t>2.8 具备智能维护跟踪与提醒，可以提示进样垫、衬管等更换时间</w:t>
            </w:r>
          </w:p>
          <w:p>
            <w:pPr>
              <w:pStyle w:val="null3"/>
              <w:jc w:val="left"/>
            </w:pPr>
            <w:r>
              <w:rPr>
                <w:rFonts w:ascii="宋体" w:hAnsi="宋体" w:cs="宋体" w:eastAsia="宋体"/>
                <w:sz w:val="21"/>
              </w:rPr>
              <w:t>2.9 具备数字化泄漏检测</w:t>
            </w:r>
          </w:p>
          <w:p>
            <w:pPr>
              <w:pStyle w:val="null3"/>
              <w:jc w:val="left"/>
            </w:pPr>
            <w:r>
              <w:rPr>
                <w:rFonts w:ascii="宋体" w:hAnsi="宋体" w:cs="宋体" w:eastAsia="宋体"/>
                <w:sz w:val="21"/>
              </w:rPr>
              <w:t>2.10 色谱前后通道可实现同步或异步独立控制、操作</w:t>
            </w:r>
          </w:p>
          <w:p>
            <w:pPr>
              <w:pStyle w:val="null3"/>
              <w:jc w:val="left"/>
            </w:pPr>
            <w:r>
              <w:rPr>
                <w:rFonts w:ascii="宋体" w:hAnsi="宋体" w:cs="宋体" w:eastAsia="宋体"/>
                <w:sz w:val="21"/>
              </w:rPr>
              <w:t>2.11 主机具有电容式触摸屏，屏幕≥8英寸，可访问控制仪器，实时显示仪器状态及各项参数，具有分析启动、停止、预运行物理按键</w:t>
            </w:r>
          </w:p>
          <w:p>
            <w:pPr>
              <w:pStyle w:val="null3"/>
              <w:jc w:val="left"/>
            </w:pPr>
            <w:r>
              <w:rPr>
                <w:rFonts w:ascii="宋体" w:hAnsi="宋体" w:cs="宋体" w:eastAsia="宋体"/>
                <w:b/>
                <w:sz w:val="21"/>
              </w:rPr>
              <w:t>3  柱温箱</w:t>
            </w:r>
          </w:p>
          <w:p>
            <w:pPr>
              <w:pStyle w:val="null3"/>
              <w:jc w:val="left"/>
            </w:pPr>
            <w:r>
              <w:rPr>
                <w:rFonts w:ascii="宋体" w:hAnsi="宋体" w:cs="宋体" w:eastAsia="宋体"/>
                <w:sz w:val="21"/>
              </w:rPr>
              <w:t>3.1 柱温箱炉膛尺寸：280×310×160（mm）长×高×深</w:t>
            </w:r>
          </w:p>
          <w:p>
            <w:pPr>
              <w:pStyle w:val="null3"/>
              <w:jc w:val="left"/>
            </w:pPr>
            <w:r>
              <w:rPr>
                <w:rFonts w:ascii="宋体" w:hAnsi="宋体" w:cs="宋体" w:eastAsia="宋体"/>
                <w:sz w:val="21"/>
              </w:rPr>
              <w:t>3.2 温度范围：室温+4℃~450℃</w:t>
            </w:r>
          </w:p>
          <w:p>
            <w:pPr>
              <w:pStyle w:val="null3"/>
              <w:jc w:val="left"/>
            </w:pPr>
            <w:r>
              <w:rPr>
                <w:rFonts w:ascii="宋体" w:hAnsi="宋体" w:cs="宋体" w:eastAsia="宋体"/>
                <w:sz w:val="21"/>
              </w:rPr>
              <w:t>3.3 温度设定增量：0.1℃</w:t>
            </w:r>
          </w:p>
          <w:p>
            <w:pPr>
              <w:pStyle w:val="null3"/>
              <w:jc w:val="left"/>
            </w:pPr>
            <w:r>
              <w:rPr>
                <w:rFonts w:ascii="宋体" w:hAnsi="宋体" w:cs="宋体" w:eastAsia="宋体"/>
                <w:sz w:val="21"/>
              </w:rPr>
              <w:t>3.4 温度控制精度: ±0.01℃</w:t>
            </w:r>
          </w:p>
          <w:p>
            <w:pPr>
              <w:pStyle w:val="null3"/>
              <w:jc w:val="left"/>
            </w:pPr>
            <w:r>
              <w:rPr>
                <w:rFonts w:ascii="宋体" w:hAnsi="宋体" w:cs="宋体" w:eastAsia="宋体"/>
                <w:sz w:val="21"/>
              </w:rPr>
              <w:t>3.5 程序升温：32阶33平台，可程序降温</w:t>
            </w:r>
          </w:p>
          <w:p>
            <w:pPr>
              <w:pStyle w:val="null3"/>
              <w:jc w:val="left"/>
            </w:pPr>
            <w:r>
              <w:rPr>
                <w:rFonts w:ascii="宋体" w:hAnsi="宋体" w:cs="宋体" w:eastAsia="宋体"/>
                <w:sz w:val="21"/>
              </w:rPr>
              <w:t>3.6 最大单阶运行时间：9999.99min</w:t>
            </w:r>
          </w:p>
          <w:p>
            <w:pPr>
              <w:pStyle w:val="null3"/>
              <w:jc w:val="left"/>
            </w:pPr>
            <w:r>
              <w:rPr>
                <w:rFonts w:ascii="宋体" w:hAnsi="宋体" w:cs="宋体" w:eastAsia="宋体"/>
                <w:sz w:val="21"/>
              </w:rPr>
              <w:t>3.7 最高升温速率：250℃/min</w:t>
            </w:r>
          </w:p>
          <w:p>
            <w:pPr>
              <w:pStyle w:val="null3"/>
              <w:jc w:val="left"/>
            </w:pPr>
            <w:r>
              <w:rPr>
                <w:rFonts w:ascii="宋体" w:hAnsi="宋体" w:cs="宋体" w:eastAsia="宋体"/>
                <w:sz w:val="21"/>
              </w:rPr>
              <w:t>3.8 柱温箱冷却降温（室温 21℃）：从 450℃至50℃＜5.0min</w:t>
            </w:r>
          </w:p>
          <w:p>
            <w:pPr>
              <w:pStyle w:val="null3"/>
              <w:jc w:val="left"/>
            </w:pPr>
            <w:r>
              <w:rPr>
                <w:rFonts w:ascii="宋体" w:hAnsi="宋体" w:cs="宋体" w:eastAsia="宋体"/>
                <w:sz w:val="21"/>
              </w:rPr>
              <w:t>3.9 环境敏感度：环境温度变化1℃，柱箱温度变化＜0.01℃，快速响应环境温度0.1℃变化</w:t>
            </w:r>
          </w:p>
          <w:p>
            <w:pPr>
              <w:pStyle w:val="null3"/>
              <w:jc w:val="left"/>
            </w:pPr>
            <w:r>
              <w:rPr>
                <w:rFonts w:ascii="宋体" w:hAnsi="宋体" w:cs="宋体" w:eastAsia="宋体"/>
                <w:sz w:val="21"/>
              </w:rPr>
              <w:t>3.10 安全防护：提供双路温控/监测保护机制，确保色谱使用安全性</w:t>
            </w:r>
          </w:p>
          <w:p>
            <w:pPr>
              <w:pStyle w:val="null3"/>
              <w:jc w:val="left"/>
            </w:pPr>
            <w:r>
              <w:rPr>
                <w:rFonts w:ascii="宋体" w:hAnsi="宋体" w:cs="宋体" w:eastAsia="宋体"/>
                <w:b/>
                <w:sz w:val="21"/>
              </w:rPr>
              <w:t>4  分流/不分流毛细管柱进样口</w:t>
            </w:r>
          </w:p>
          <w:p>
            <w:pPr>
              <w:pStyle w:val="null3"/>
              <w:jc w:val="left"/>
            </w:pPr>
            <w:r>
              <w:rPr>
                <w:rFonts w:ascii="宋体" w:hAnsi="宋体" w:cs="宋体" w:eastAsia="宋体"/>
                <w:sz w:val="21"/>
              </w:rPr>
              <w:t>4.1 最高使用温度：450℃</w:t>
            </w:r>
          </w:p>
          <w:p>
            <w:pPr>
              <w:pStyle w:val="null3"/>
              <w:jc w:val="left"/>
            </w:pPr>
            <w:r>
              <w:rPr>
                <w:rFonts w:ascii="宋体" w:hAnsi="宋体" w:cs="宋体" w:eastAsia="宋体"/>
                <w:sz w:val="21"/>
              </w:rPr>
              <w:t>4.2 纵向压扣式进样口设计，可实现10秒快速徒手拆卸，方便维护</w:t>
            </w:r>
          </w:p>
          <w:p>
            <w:pPr>
              <w:pStyle w:val="null3"/>
              <w:jc w:val="left"/>
            </w:pPr>
            <w:r>
              <w:rPr>
                <w:rFonts w:ascii="宋体" w:hAnsi="宋体" w:cs="宋体" w:eastAsia="宋体"/>
                <w:sz w:val="21"/>
              </w:rPr>
              <w:t>4.3 具备独立的分流冷阱和隔垫吹扫捕集阱</w:t>
            </w:r>
          </w:p>
          <w:p>
            <w:pPr>
              <w:pStyle w:val="null3"/>
              <w:jc w:val="left"/>
            </w:pPr>
            <w:r>
              <w:rPr>
                <w:rFonts w:ascii="宋体" w:hAnsi="宋体" w:cs="宋体" w:eastAsia="宋体"/>
                <w:sz w:val="21"/>
              </w:rPr>
              <w:t>4.4 载气控制模式：恒压力、恒流量、恒线速度、程序压力、程序流量、程序线速度、脉冲进样</w:t>
            </w:r>
          </w:p>
          <w:p>
            <w:pPr>
              <w:pStyle w:val="null3"/>
              <w:jc w:val="left"/>
            </w:pPr>
            <w:r>
              <w:rPr>
                <w:rFonts w:ascii="宋体" w:hAnsi="宋体" w:cs="宋体" w:eastAsia="宋体"/>
                <w:sz w:val="21"/>
              </w:rPr>
              <w:t>4.5 程序压力/流量/线速度：最大 8阶</w:t>
            </w:r>
          </w:p>
          <w:p>
            <w:pPr>
              <w:pStyle w:val="null3"/>
              <w:jc w:val="left"/>
            </w:pPr>
            <w:r>
              <w:rPr>
                <w:rFonts w:ascii="宋体" w:hAnsi="宋体" w:cs="宋体" w:eastAsia="宋体"/>
                <w:sz w:val="21"/>
              </w:rPr>
              <w:t>4.6 压力控制精度：0.001psi</w:t>
            </w:r>
          </w:p>
          <w:p>
            <w:pPr>
              <w:pStyle w:val="null3"/>
              <w:jc w:val="left"/>
            </w:pPr>
            <w:r>
              <w:rPr>
                <w:rFonts w:ascii="宋体" w:hAnsi="宋体" w:cs="宋体" w:eastAsia="宋体"/>
                <w:sz w:val="21"/>
              </w:rPr>
              <w:t>4.7 压力控制范围：0-100psi，可选配0-150psi</w:t>
            </w:r>
          </w:p>
          <w:p>
            <w:pPr>
              <w:pStyle w:val="null3"/>
              <w:jc w:val="left"/>
            </w:pPr>
            <w:r>
              <w:rPr>
                <w:rFonts w:ascii="宋体" w:hAnsi="宋体" w:cs="宋体" w:eastAsia="宋体"/>
                <w:sz w:val="21"/>
              </w:rPr>
              <w:t>4.8 最大分流比：9999:1</w:t>
            </w:r>
          </w:p>
          <w:p>
            <w:pPr>
              <w:pStyle w:val="null3"/>
              <w:jc w:val="left"/>
            </w:pPr>
            <w:r>
              <w:rPr>
                <w:rFonts w:ascii="宋体" w:hAnsi="宋体" w:cs="宋体" w:eastAsia="宋体"/>
                <w:sz w:val="21"/>
              </w:rPr>
              <w:t>4.9流量设定范围：0-1250mL/min（氢气或氦气），0-200mL/min（氮气）</w:t>
            </w:r>
          </w:p>
          <w:p>
            <w:pPr>
              <w:pStyle w:val="null3"/>
              <w:jc w:val="left"/>
            </w:pPr>
            <w:r>
              <w:rPr>
                <w:rFonts w:ascii="宋体" w:hAnsi="宋体" w:cs="宋体" w:eastAsia="宋体"/>
                <w:sz w:val="21"/>
              </w:rPr>
              <w:t>4.10 具有载气节省模式</w:t>
            </w:r>
          </w:p>
          <w:p>
            <w:pPr>
              <w:pStyle w:val="null3"/>
              <w:jc w:val="left"/>
            </w:pPr>
            <w:r>
              <w:rPr>
                <w:rFonts w:ascii="宋体" w:hAnsi="宋体" w:cs="宋体" w:eastAsia="宋体"/>
                <w:b/>
                <w:sz w:val="21"/>
              </w:rPr>
              <w:t>5  氢火焰检测器（FID）</w:t>
            </w:r>
          </w:p>
          <w:p>
            <w:pPr>
              <w:pStyle w:val="null3"/>
              <w:jc w:val="left"/>
            </w:pPr>
            <w:r>
              <w:rPr>
                <w:rFonts w:ascii="宋体" w:hAnsi="宋体" w:cs="宋体" w:eastAsia="宋体"/>
                <w:sz w:val="21"/>
              </w:rPr>
              <w:t>5.1宽量程数字化输出，提升线性范围</w:t>
            </w:r>
          </w:p>
          <w:p>
            <w:pPr>
              <w:pStyle w:val="null3"/>
              <w:jc w:val="left"/>
            </w:pPr>
            <w:r>
              <w:rPr>
                <w:rFonts w:ascii="宋体" w:hAnsi="宋体" w:cs="宋体" w:eastAsia="宋体"/>
                <w:sz w:val="21"/>
              </w:rPr>
              <w:t>5.2最高使用温度：450℃</w:t>
            </w:r>
          </w:p>
          <w:p>
            <w:pPr>
              <w:pStyle w:val="null3"/>
              <w:jc w:val="left"/>
            </w:pPr>
            <w:r>
              <w:rPr>
                <w:rFonts w:ascii="宋体" w:hAnsi="宋体" w:cs="宋体" w:eastAsia="宋体"/>
                <w:sz w:val="21"/>
              </w:rPr>
              <w:t>5.3最低检测限：≤1.2pg C/s（正十六烷）</w:t>
            </w:r>
          </w:p>
          <w:p>
            <w:pPr>
              <w:pStyle w:val="null3"/>
              <w:jc w:val="left"/>
            </w:pPr>
            <w:r>
              <w:rPr>
                <w:rFonts w:ascii="宋体" w:hAnsi="宋体" w:cs="宋体" w:eastAsia="宋体"/>
                <w:sz w:val="21"/>
              </w:rPr>
              <w:t>5.4动态线性范围：≥107</w:t>
            </w:r>
          </w:p>
          <w:p>
            <w:pPr>
              <w:pStyle w:val="null3"/>
              <w:jc w:val="left"/>
            </w:pPr>
            <w:r>
              <w:rPr>
                <w:rFonts w:ascii="宋体" w:hAnsi="宋体" w:cs="宋体" w:eastAsia="宋体"/>
                <w:sz w:val="21"/>
              </w:rPr>
              <w:t>5.5具备灭火检测和自动再点火功能</w:t>
            </w:r>
          </w:p>
          <w:p>
            <w:pPr>
              <w:pStyle w:val="null3"/>
              <w:jc w:val="left"/>
            </w:pPr>
            <w:r>
              <w:rPr>
                <w:rFonts w:ascii="宋体" w:hAnsi="宋体" w:cs="宋体" w:eastAsia="宋体"/>
                <w:sz w:val="21"/>
              </w:rPr>
              <w:t>5.6 安全防护：H2流路长期灭火关闭防护</w:t>
            </w:r>
          </w:p>
          <w:p>
            <w:pPr>
              <w:pStyle w:val="null3"/>
              <w:jc w:val="left"/>
            </w:pPr>
            <w:r>
              <w:rPr>
                <w:rFonts w:ascii="宋体" w:hAnsi="宋体" w:cs="宋体" w:eastAsia="宋体"/>
                <w:b/>
                <w:sz w:val="21"/>
              </w:rPr>
              <w:t>6  电子捕获检测器（ECD）</w:t>
            </w:r>
          </w:p>
          <w:p>
            <w:pPr>
              <w:pStyle w:val="null3"/>
              <w:jc w:val="left"/>
            </w:pPr>
            <w:r>
              <w:rPr>
                <w:rFonts w:ascii="宋体" w:hAnsi="宋体" w:cs="宋体" w:eastAsia="宋体"/>
                <w:sz w:val="21"/>
              </w:rPr>
              <w:t>6.1最高使用温度：400℃</w:t>
            </w:r>
          </w:p>
          <w:p>
            <w:pPr>
              <w:pStyle w:val="null3"/>
              <w:jc w:val="left"/>
            </w:pPr>
            <w:r>
              <w:rPr>
                <w:rFonts w:ascii="宋体" w:hAnsi="宋体" w:cs="宋体" w:eastAsia="宋体"/>
                <w:sz w:val="21"/>
              </w:rPr>
              <w:t>6.2最低检测限：≤10 fg/mL（γ-666）</w:t>
            </w:r>
          </w:p>
          <w:p>
            <w:pPr>
              <w:pStyle w:val="null3"/>
              <w:jc w:val="left"/>
            </w:pPr>
            <w:r>
              <w:rPr>
                <w:rFonts w:ascii="宋体" w:hAnsi="宋体" w:cs="宋体" w:eastAsia="宋体"/>
                <w:sz w:val="21"/>
              </w:rPr>
              <w:t>6.3动态线性范围：≥104</w:t>
            </w:r>
          </w:p>
          <w:p>
            <w:pPr>
              <w:pStyle w:val="null3"/>
              <w:jc w:val="left"/>
            </w:pPr>
            <w:r>
              <w:rPr>
                <w:rFonts w:ascii="宋体" w:hAnsi="宋体" w:cs="宋体" w:eastAsia="宋体"/>
                <w:b/>
                <w:sz w:val="21"/>
              </w:rPr>
              <w:t>7  色谱工作站</w:t>
            </w:r>
          </w:p>
          <w:p>
            <w:pPr>
              <w:pStyle w:val="null3"/>
              <w:jc w:val="left"/>
            </w:pPr>
            <w:r>
              <w:rPr>
                <w:rFonts w:ascii="宋体" w:hAnsi="宋体" w:cs="宋体" w:eastAsia="宋体"/>
                <w:sz w:val="21"/>
              </w:rPr>
              <w:t>7.1工作站运行环境Windows 10/11 64位专业版或企业版操作系统；</w:t>
            </w:r>
          </w:p>
          <w:p>
            <w:pPr>
              <w:pStyle w:val="null3"/>
              <w:jc w:val="left"/>
            </w:pPr>
            <w:r>
              <w:rPr>
                <w:rFonts w:ascii="宋体" w:hAnsi="宋体" w:cs="宋体" w:eastAsia="宋体"/>
                <w:sz w:val="21"/>
              </w:rPr>
              <w:t>7.2工作站可完全反控仪器各项参数；</w:t>
            </w:r>
          </w:p>
          <w:p>
            <w:pPr>
              <w:pStyle w:val="null3"/>
              <w:jc w:val="left"/>
            </w:pPr>
            <w:r>
              <w:rPr>
                <w:rFonts w:ascii="宋体" w:hAnsi="宋体" w:cs="宋体" w:eastAsia="宋体"/>
                <w:sz w:val="21"/>
              </w:rPr>
              <w:t>7.3支持单台电脑最多8台仪器同时控制；</w:t>
            </w:r>
          </w:p>
          <w:p>
            <w:pPr>
              <w:pStyle w:val="null3"/>
              <w:jc w:val="left"/>
            </w:pPr>
            <w:r>
              <w:rPr>
                <w:rFonts w:ascii="宋体" w:hAnsi="宋体" w:cs="宋体" w:eastAsia="宋体"/>
                <w:sz w:val="21"/>
              </w:rPr>
              <w:t>7.4图形化界面，支持多窗口，多任务操作模式；</w:t>
            </w:r>
          </w:p>
          <w:p>
            <w:pPr>
              <w:pStyle w:val="null3"/>
              <w:jc w:val="left"/>
            </w:pPr>
            <w:r>
              <w:rPr>
                <w:rFonts w:ascii="宋体" w:hAnsi="宋体" w:cs="宋体" w:eastAsia="宋体"/>
                <w:sz w:val="21"/>
              </w:rPr>
              <w:t>7.5具备快照预览功能，可在采集谱图过程中提前查看结果；</w:t>
            </w:r>
          </w:p>
          <w:p>
            <w:pPr>
              <w:pStyle w:val="null3"/>
              <w:jc w:val="left"/>
            </w:pPr>
            <w:r>
              <w:rPr>
                <w:rFonts w:ascii="宋体" w:hAnsi="宋体" w:cs="宋体" w:eastAsia="宋体"/>
                <w:sz w:val="21"/>
              </w:rPr>
              <w:t>7.6支持单针进样、同步序列进样、异步序列进样、手动进样及第三方序列进样模式；</w:t>
            </w:r>
          </w:p>
          <w:p>
            <w:pPr>
              <w:pStyle w:val="null3"/>
              <w:jc w:val="left"/>
            </w:pPr>
            <w:r>
              <w:rPr>
                <w:rFonts w:ascii="宋体" w:hAnsi="宋体" w:cs="宋体" w:eastAsia="宋体"/>
                <w:sz w:val="21"/>
              </w:rPr>
              <w:t>7.7支持进样任务的灵活调度功能，包括进样任务的启动、暂停、取消、重新启动等；</w:t>
            </w:r>
          </w:p>
          <w:p>
            <w:pPr>
              <w:pStyle w:val="null3"/>
              <w:jc w:val="left"/>
            </w:pPr>
            <w:r>
              <w:rPr>
                <w:rFonts w:ascii="宋体" w:hAnsi="宋体" w:cs="宋体" w:eastAsia="宋体"/>
                <w:sz w:val="21"/>
              </w:rPr>
              <w:t>7.8具有日志管理功能，能够开启或关闭日志管理功能，并能通过多种条件组合对日志进行查询；</w:t>
            </w:r>
          </w:p>
          <w:p>
            <w:pPr>
              <w:pStyle w:val="null3"/>
              <w:jc w:val="left"/>
            </w:pPr>
            <w:r>
              <w:rPr>
                <w:rFonts w:ascii="宋体" w:hAnsi="宋体" w:cs="宋体" w:eastAsia="宋体"/>
                <w:sz w:val="21"/>
              </w:rPr>
              <w:t>7.9支持报告模板的定制化，用户可以根据自己的需求重新设计报告模板，并可以在其他仪器上调用相同的报告模板；</w:t>
            </w:r>
          </w:p>
          <w:p>
            <w:pPr>
              <w:pStyle w:val="null3"/>
              <w:jc w:val="left"/>
            </w:pPr>
            <w:r>
              <w:rPr>
                <w:rFonts w:ascii="宋体" w:hAnsi="宋体" w:cs="宋体" w:eastAsia="宋体"/>
                <w:sz w:val="21"/>
              </w:rPr>
              <w:t>7.10系统支持客户端自动、手动锁屏功能</w:t>
            </w:r>
          </w:p>
          <w:p>
            <w:pPr>
              <w:pStyle w:val="null3"/>
              <w:jc w:val="left"/>
            </w:pPr>
            <w:r>
              <w:rPr>
                <w:rFonts w:ascii="宋体" w:hAnsi="宋体" w:cs="宋体" w:eastAsia="宋体"/>
                <w:b/>
                <w:sz w:val="21"/>
              </w:rPr>
              <w:t>配置清单：</w:t>
            </w:r>
          </w:p>
          <w:p>
            <w:pPr>
              <w:pStyle w:val="null3"/>
              <w:jc w:val="left"/>
            </w:pPr>
            <w:r>
              <w:rPr>
                <w:rFonts w:ascii="宋体" w:hAnsi="宋体" w:cs="宋体" w:eastAsia="宋体"/>
                <w:sz w:val="21"/>
              </w:rPr>
              <w:t>1</w:t>
            </w:r>
            <w:r>
              <w:rPr>
                <w:rFonts w:ascii="宋体" w:hAnsi="宋体" w:cs="宋体" w:eastAsia="宋体"/>
                <w:sz w:val="21"/>
              </w:rPr>
              <w:t>、气相色谱仪主机</w:t>
            </w:r>
            <w:r>
              <w:rPr>
                <w:rFonts w:ascii="&quot;times new roman&quot;" w:hAnsi="&quot;times new roman&quot;" w:cs="&quot;times new roman&quot;" w:eastAsia="&quot;times new roman&quot;"/>
                <w:sz w:val="21"/>
              </w:rPr>
              <w:t xml:space="preserve">           </w:t>
            </w:r>
            <w:r>
              <w:rPr>
                <w:rFonts w:ascii="宋体" w:hAnsi="宋体" w:cs="宋体" w:eastAsia="宋体"/>
                <w:sz w:val="21"/>
              </w:rPr>
              <w:t>一套</w:t>
            </w:r>
          </w:p>
          <w:p>
            <w:pPr>
              <w:pStyle w:val="null3"/>
              <w:jc w:val="left"/>
            </w:pPr>
            <w:r>
              <w:rPr>
                <w:rFonts w:ascii="宋体" w:hAnsi="宋体" w:cs="宋体" w:eastAsia="宋体"/>
                <w:sz w:val="21"/>
              </w:rPr>
              <w:t>2、毛细进样系统</w:t>
            </w:r>
            <w:r>
              <w:rPr>
                <w:rFonts w:ascii="&quot;times new roman&quot;" w:hAnsi="&quot;times new roman&quot;" w:cs="&quot;times new roman&quot;" w:eastAsia="&quot;times new roman&quot;"/>
                <w:sz w:val="21"/>
              </w:rPr>
              <w:t xml:space="preserve">             </w:t>
            </w:r>
            <w:r>
              <w:rPr>
                <w:rFonts w:ascii="宋体" w:hAnsi="宋体" w:cs="宋体" w:eastAsia="宋体"/>
                <w:sz w:val="21"/>
              </w:rPr>
              <w:t>两套</w:t>
            </w:r>
          </w:p>
          <w:p>
            <w:pPr>
              <w:pStyle w:val="null3"/>
              <w:jc w:val="left"/>
            </w:pPr>
            <w:r>
              <w:rPr>
                <w:rFonts w:ascii="宋体" w:hAnsi="宋体" w:cs="宋体" w:eastAsia="宋体"/>
                <w:sz w:val="21"/>
              </w:rPr>
              <w:t>3、氢火焰检测器FID</w:t>
            </w:r>
            <w:r>
              <w:rPr>
                <w:rFonts w:ascii="&quot;times new roman&quot;" w:hAnsi="&quot;times new roman&quot;" w:cs="&quot;times new roman&quot;" w:eastAsia="&quot;times new roman&quot;"/>
                <w:sz w:val="21"/>
              </w:rPr>
              <w:t xml:space="preserve">         </w:t>
            </w:r>
            <w:r>
              <w:rPr>
                <w:rFonts w:ascii="宋体" w:hAnsi="宋体" w:cs="宋体" w:eastAsia="宋体"/>
                <w:sz w:val="21"/>
              </w:rPr>
              <w:t>一套</w:t>
            </w:r>
          </w:p>
          <w:p>
            <w:pPr>
              <w:pStyle w:val="null3"/>
              <w:jc w:val="left"/>
            </w:pPr>
            <w:r>
              <w:rPr>
                <w:rFonts w:ascii="宋体" w:hAnsi="宋体" w:cs="宋体" w:eastAsia="宋体"/>
                <w:sz w:val="21"/>
              </w:rPr>
              <w:t>4、电子捕获检测器ECD</w:t>
            </w:r>
            <w:r>
              <w:rPr>
                <w:rFonts w:ascii="&quot;times new roman&quot;" w:hAnsi="&quot;times new roman&quot;" w:cs="&quot;times new roman&quot;" w:eastAsia="&quot;times new roman&quot;"/>
                <w:sz w:val="21"/>
              </w:rPr>
              <w:t xml:space="preserve">       </w:t>
            </w:r>
            <w:r>
              <w:rPr>
                <w:rFonts w:ascii="宋体" w:hAnsi="宋体" w:cs="宋体" w:eastAsia="宋体"/>
                <w:sz w:val="21"/>
              </w:rPr>
              <w:t>一套</w:t>
            </w:r>
          </w:p>
          <w:p>
            <w:pPr>
              <w:pStyle w:val="null3"/>
              <w:jc w:val="left"/>
            </w:pPr>
            <w:r>
              <w:rPr>
                <w:rFonts w:ascii="宋体" w:hAnsi="宋体" w:cs="宋体" w:eastAsia="宋体"/>
                <w:sz w:val="21"/>
              </w:rPr>
              <w:t>5、反控工作站</w:t>
            </w:r>
            <w:r>
              <w:rPr>
                <w:rFonts w:ascii="&quot;times new roman&quot;" w:hAnsi="&quot;times new roman&quot;" w:cs="&quot;times new roman&quot;" w:eastAsia="&quot;times new roman&quot;"/>
                <w:sz w:val="21"/>
              </w:rPr>
              <w:t xml:space="preserve">               </w:t>
            </w:r>
            <w:r>
              <w:rPr>
                <w:rFonts w:ascii="宋体" w:hAnsi="宋体" w:cs="宋体" w:eastAsia="宋体"/>
                <w:sz w:val="21"/>
              </w:rPr>
              <w:t>一套</w:t>
            </w:r>
          </w:p>
          <w:p>
            <w:pPr>
              <w:pStyle w:val="null3"/>
              <w:jc w:val="left"/>
            </w:pPr>
            <w:r>
              <w:rPr>
                <w:rFonts w:ascii="宋体" w:hAnsi="宋体" w:cs="宋体" w:eastAsia="宋体"/>
                <w:sz w:val="21"/>
              </w:rPr>
              <w:t>6、脱氧管</w:t>
            </w:r>
            <w:r>
              <w:rPr>
                <w:rFonts w:ascii="&quot;times new roman&quot;" w:hAnsi="&quot;times new roman&quot;" w:cs="&quot;times new roman&quot;" w:eastAsia="&quot;times new roman&quot;"/>
                <w:sz w:val="21"/>
              </w:rPr>
              <w:t xml:space="preserve">                   </w:t>
            </w:r>
            <w:r>
              <w:rPr>
                <w:rFonts w:ascii="宋体" w:hAnsi="宋体" w:cs="宋体" w:eastAsia="宋体"/>
                <w:sz w:val="21"/>
              </w:rPr>
              <w:t>一套</w:t>
            </w:r>
          </w:p>
          <w:p>
            <w:pPr>
              <w:pStyle w:val="null3"/>
              <w:jc w:val="left"/>
            </w:pPr>
            <w:r>
              <w:rPr>
                <w:rFonts w:ascii="宋体" w:hAnsi="宋体" w:cs="宋体" w:eastAsia="宋体"/>
                <w:sz w:val="21"/>
              </w:rPr>
              <w:t>7、毛细色谱柱</w:t>
            </w:r>
            <w:r>
              <w:rPr>
                <w:rFonts w:ascii="&quot;times new roman&quot;" w:hAnsi="&quot;times new roman&quot;" w:cs="&quot;times new roman&quot;" w:eastAsia="&quot;times new roman&quot;"/>
                <w:sz w:val="21"/>
              </w:rPr>
              <w:t xml:space="preserve">                </w:t>
            </w:r>
            <w:r>
              <w:rPr>
                <w:rFonts w:ascii="宋体" w:hAnsi="宋体" w:cs="宋体" w:eastAsia="宋体"/>
                <w:sz w:val="21"/>
              </w:rPr>
              <w:t>两根</w:t>
            </w:r>
          </w:p>
          <w:p>
            <w:pPr>
              <w:pStyle w:val="null3"/>
              <w:jc w:val="left"/>
            </w:pPr>
            <w:r>
              <w:rPr>
                <w:rFonts w:ascii="宋体" w:hAnsi="宋体" w:cs="宋体" w:eastAsia="宋体"/>
                <w:sz w:val="21"/>
              </w:rPr>
              <w:t>8、氢气发生器</w:t>
            </w:r>
            <w:r>
              <w:rPr>
                <w:rFonts w:ascii="&quot;times new roman&quot;" w:hAnsi="&quot;times new roman&quot;" w:cs="&quot;times new roman&quot;" w:eastAsia="&quot;times new roman&quot;"/>
                <w:sz w:val="21"/>
              </w:rPr>
              <w:t xml:space="preserve">               </w:t>
            </w:r>
            <w:r>
              <w:rPr>
                <w:rFonts w:ascii="宋体" w:hAnsi="宋体" w:cs="宋体" w:eastAsia="宋体"/>
                <w:sz w:val="21"/>
              </w:rPr>
              <w:t>一套</w:t>
            </w:r>
          </w:p>
          <w:p>
            <w:pPr>
              <w:pStyle w:val="null3"/>
              <w:jc w:val="left"/>
            </w:pPr>
            <w:r>
              <w:rPr>
                <w:rFonts w:ascii="宋体" w:hAnsi="宋体" w:cs="宋体" w:eastAsia="宋体"/>
                <w:sz w:val="21"/>
              </w:rPr>
              <w:t>9、空气发生器</w:t>
            </w:r>
            <w:r>
              <w:rPr>
                <w:rFonts w:ascii="&quot;times new roman&quot;" w:hAnsi="&quot;times new roman&quot;" w:cs="&quot;times new roman&quot;" w:eastAsia="&quot;times new roman&quot;"/>
                <w:sz w:val="21"/>
              </w:rPr>
              <w:t xml:space="preserve">              </w:t>
            </w:r>
            <w:r>
              <w:rPr>
                <w:rFonts w:ascii="宋体" w:hAnsi="宋体" w:cs="宋体" w:eastAsia="宋体"/>
                <w:sz w:val="21"/>
              </w:rPr>
              <w:t xml:space="preserve"> </w:t>
            </w:r>
            <w:r>
              <w:rPr>
                <w:rFonts w:ascii="宋体" w:hAnsi="宋体" w:cs="宋体" w:eastAsia="宋体"/>
                <w:sz w:val="21"/>
              </w:rPr>
              <w:t>一套</w:t>
            </w:r>
          </w:p>
          <w:p>
            <w:pPr>
              <w:pStyle w:val="null3"/>
              <w:jc w:val="left"/>
            </w:pPr>
            <w:r>
              <w:rPr>
                <w:rFonts w:ascii="宋体" w:hAnsi="宋体" w:cs="宋体" w:eastAsia="宋体"/>
                <w:sz w:val="21"/>
              </w:rPr>
              <w:t>10、氮气钢瓶       一瓶</w:t>
            </w:r>
          </w:p>
          <w:p>
            <w:pPr>
              <w:pStyle w:val="null3"/>
              <w:jc w:val="left"/>
            </w:pPr>
            <w:r>
              <w:rPr>
                <w:rFonts w:ascii="宋体" w:hAnsi="宋体" w:cs="宋体" w:eastAsia="宋体"/>
                <w:sz w:val="21"/>
              </w:rPr>
              <w:t>11、电脑</w:t>
            </w:r>
            <w:r>
              <w:rPr>
                <w:rFonts w:ascii="&quot;times new roman&quot;" w:hAnsi="&quot;times new roman&quot;" w:cs="&quot;times new roman&quot;" w:eastAsia="&quot;times new roman&quot;"/>
                <w:sz w:val="21"/>
              </w:rPr>
              <w:t xml:space="preserve">                               </w:t>
            </w:r>
            <w:r>
              <w:rPr>
                <w:rFonts w:ascii="宋体" w:hAnsi="宋体" w:cs="宋体" w:eastAsia="宋体"/>
                <w:sz w:val="21"/>
              </w:rPr>
              <w:t>一套</w:t>
            </w:r>
          </w:p>
          <w:p>
            <w:pPr>
              <w:pStyle w:val="null3"/>
              <w:jc w:val="both"/>
            </w:pPr>
            <w:r>
              <w:rPr>
                <w:rFonts w:ascii="times new roman, times, serif" w:hAnsi="times new roman, times, serif" w:cs="times new roman, times, serif" w:eastAsia="times new roman, times, serif"/>
                <w:sz w:val="21"/>
              </w:rPr>
              <w:t>12</w:t>
            </w:r>
            <w:r>
              <w:rPr>
                <w:rFonts w:ascii="宋体" w:hAnsi="宋体" w:cs="宋体" w:eastAsia="宋体"/>
                <w:sz w:val="21"/>
              </w:rPr>
              <w:t>、气体净化器     一套</w:t>
            </w:r>
          </w:p>
          <w:p>
            <w:pPr>
              <w:pStyle w:val="null3"/>
              <w:jc w:val="both"/>
            </w:pPr>
          </w:p>
        </w:tc>
      </w:tr>
    </w:tbl>
    <w:p>
      <w:pPr>
        <w:pStyle w:val="null3"/>
      </w:pPr>
      <w:r>
        <w:rPr/>
        <w:t>标的名称：自动进样器（原子吸收）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1.功能：火焰-石墨炉双用；2.进样位数：双面 110 位；3.线性：&gt;0.999；4.交叉污染：&lt;5×10-5；5.进样体积：1-200uL；6.进样体积重复性：&lt;0.1%；7.结果重复性 ：&lt;1.5%；8.转换方式：火焰石墨炉自动切换一体机。</w:t>
            </w:r>
          </w:p>
        </w:tc>
      </w:tr>
    </w:tbl>
    <w:p>
      <w:pPr>
        <w:pStyle w:val="null3"/>
      </w:pPr>
      <w:r>
        <w:rPr/>
        <w:t>标的名称：固体溶解物仪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测量范围TDS ：0.0-199.9 mg/L（ppm）、0-1999 mg/L（ppm）、0.00-19.99 g/L（ppt）；解析度 0.1 mg/L (ppm)、1 mg/L (ppm)、0.01 g/L (ppt)；精度@ 20°C/68°F ；±1% F.S.；手动单点校准；温度补偿 ：手动温度补偿 0-50°C；补偿系数ß＝2％/°C</w:t>
            </w:r>
            <w:r>
              <w:br/>
            </w:r>
            <w:r>
              <w:rPr/>
              <w:t xml:space="preserve"> 其他 标配电极 ：HI76301D定制专用四环电导率-EC电极；DIN接口，1米线长；电源模式 9V电池；适用环境 0-50°C (32-122°F)；尺寸重量：主机尺寸：145 x 80 x 36 mm (5.7 x 3.1 x 1.4”)；主机重量：230 g</w:t>
            </w:r>
          </w:p>
        </w:tc>
      </w:tr>
    </w:tbl>
    <w:p>
      <w:pPr>
        <w:pStyle w:val="null3"/>
      </w:pPr>
      <w:r>
        <w:rPr/>
        <w:t>标的名称：程控定量封口机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1.执行标准</w:t>
            </w:r>
            <w:r>
              <w:br/>
            </w:r>
            <w:r>
              <w:rPr/>
              <w:t xml:space="preserve"> GB 5750.12-2023 生活饮用水标准检验方法</w:t>
            </w:r>
            <w:r>
              <w:br/>
            </w:r>
            <w:r>
              <w:rPr/>
              <w:t xml:space="preserve"> 2.技术参数 </w:t>
            </w:r>
            <w:r>
              <w:br/>
            </w:r>
            <w:r>
              <w:rPr/>
              <w:t xml:space="preserve"> （1）电源电压：220V±10%,50Hz； （2）环境温度：-10℃～50℃； （3）相对湿度：20%～90%，无大量粉尘及腐蚀性气体污染； （4）外壳温度：＜30℃； （5）预热时间：2～3min； （6）封口速度：97孔定量检测盘封口时间＜9 秒/个。（7）检测范围：配合97孔定量检测盘检测范围：0-2419MPN/100ml（水样不稀释）；（8）可靠性：封口后无漏液和破孔 （9）方便性：仪器使用寿命期内可检测样品＞50,000个 （10）手持式紫外分析仪带暗室（灯箱） </w:t>
            </w:r>
            <w:r>
              <w:br/>
            </w:r>
            <w:r>
              <w:rPr/>
              <w:t xml:space="preserve"> *带254,366nm双波长，可手持使用，与暗箱配套方便观察大肠埃希氏菌检测荧光。 （11）为了保障仪器后期正常运行以及耗材的持续稳定供应，酶底物法检测系统以及试剂为同一品牌。 （12）液晶显示屏，显示信息含预热进程、计数统计、故障码、开/关门提醒，电子时钟显示； （13）预热进程中英文显示，预热进度条指示预热进度，加热过程显示橙色条，数量不少于5个，预热完成显示绿色进度条，数量不少于1个； （14）计数统计中英文显示，数字显示位数不低于六位数； （15）故障码中英文显示，液晶面板三角中显示仪器阿拉伯数字故障码，显示个数不少于8。  </w:t>
            </w:r>
            <w:r>
              <w:br/>
            </w:r>
            <w:r>
              <w:rPr/>
              <w:t xml:space="preserve"> 3.配置清单</w:t>
            </w:r>
            <w:r>
              <w:br/>
            </w:r>
            <w:r>
              <w:rPr/>
              <w:t xml:space="preserve"> 智能程控定量封口机 1 台； 手持式双波长紫外分析仪带暗室 1 台 ；国产酶底物法试剂 1 盒 （100 个） ；国产定量检测盘/定量孔板51孔或97孔1箱（100 个） ；国产定量取样瓶 1 箱（100 个） ；中文操作说明书、操作视频1份</w:t>
            </w:r>
          </w:p>
        </w:tc>
      </w:tr>
    </w:tbl>
    <w:p>
      <w:pPr>
        <w:pStyle w:val="null3"/>
      </w:pPr>
      <w:r>
        <w:rPr/>
        <w:t>标的名称：认证培训服务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能力认证培训；水质检测指标扩项、扩方法能力认证培训，1、为扩项常规指标的一氯二溴甲烷等6项，以及扩展指标19项进行进行技能培训，指导通过资质认证； 2、微生物酶底物法扩方法认证操作能力培训，确保人员操作过关； 3、对重点人员管理体系知识培训，能开展内审、管评、质量监督和质控活动； 4、指导完善检验检测机构资质认定管理体系(CMA)，及现有的四个层次体系文件材料； 5、考核合格，颁发检测人员上岗证， 6、对现有实验设备管理标识、状态标识、设备档案及使用记录进行指导完善和其他受控标识更新。 7、指导进行模拟审核，对检验检测机构现有体系进行梳理，及时纠正不符合项并完善资料。 8、指导准备扩项及扩方法认证所需资料，为我方接受审核时提供支持，协助完成评审后整改，完善体系直到该次认证结束。</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1个月</w:t>
      </w:r>
    </w:p>
    <w:p>
      <w:pPr>
        <w:pStyle w:val="null3"/>
        <w:outlineLvl w:val="3"/>
      </w:pPr>
      <w:r>
        <w:rPr>
          <w:b/>
          <w:sz w:val="24"/>
        </w:rPr>
        <w:t>3.4.2交货地点</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验收合格后</w:t>
      </w:r>
      <w:r>
        <w:rPr/>
        <w:t xml:space="preserve"> ，达到付款条件起 </w:t>
      </w:r>
      <w:r>
        <w:rPr/>
        <w:t>10</w:t>
      </w:r>
      <w:r>
        <w:rPr/>
        <w:t xml:space="preserve"> 日内，支付合同总金额的 </w:t>
      </w:r>
      <w:r>
        <w:rPr/>
        <w:t>70.00</w:t>
      </w:r>
      <w:r>
        <w:rPr/>
        <w:t>%。</w:t>
      </w:r>
    </w:p>
    <w:p>
      <w:pPr>
        <w:pStyle w:val="null3"/>
        <w:outlineLvl w:val="3"/>
      </w:pPr>
      <w:r>
        <w:rPr>
          <w:b/>
          <w:sz w:val="24"/>
        </w:rPr>
        <w:t>3.4.5验收标准和方法</w:t>
      </w:r>
    </w:p>
    <w:p>
      <w:pPr>
        <w:pStyle w:val="null3"/>
      </w:pPr>
      <w:r>
        <w:rPr/>
        <w:t>采购包1：</w:t>
      </w:r>
    </w:p>
    <w:p>
      <w:pPr>
        <w:pStyle w:val="null3"/>
      </w:pPr>
      <w:r>
        <w:rPr/>
        <w:t>1.1 设备到货后，依招标文件要求对全部设备、产品、型号、规格、数量、外型、外观、包装及资料、文件进行验收。 1.2 拆箱后，应对其全部产品、零件、配件、用户许可证书、资料、介质造册登记，并与装箱单对比，如有出入应立即书面记录，由中标投标人联络厂家解决，如影响安装则按合同有关条款处理。 1.3 验收按国家有关的规定、规范进行。如果合同设备运输和安装调试过程中因中标供应商原因发现设备有短缺、次品、损坏或其它不符合本合同规定或质量要求，中标供应商应在7 个工作日内安排换货到指定地点，以保证合同设备成功完整交付。换货的全部费用由中标供应商承担，若超过合同期限的，应承担迟延履行的违约责任。 1.4合同设备到货、安装、验收合格后，采购人、用户单位出具书面确认材料视为合同设备已经交付。 2.项目初验 2.1 项目交货期内到货、安装调试，中标供应商必须依照招标文件的要求和 响应文件的承诺，将设备、安装并调试至正常使用的最佳状态。 2.2 项目初验标准依次序对照适用标准为：①符合中华人民共和国国家安全质量标准、 环保标准或行业标准； ②符合招标文件和响应承诺中采购人认可的合理最佳配置、参数及各项要求。 2.3 设备安装调试完毕，完成招标文件及合同要求的所有采购内容，且达到采购要求后、采购人出具书面确认函，视为通过项目初验。 3.整体验收要求 3.1 完成本项目安装试用后，由采购人组织项目的整体验收。 3.2 要求对全部设备、产品、型号、规格、数量、外型、外观、包装及资料、文件（如 装箱单、保修单、随箱介质等）的验收。 3.3 中标供应商应根据所提交的验收方案和实施办法， 自行组织设备和人员，并在采购人监查下现场进行测试和验收。 3.4 中标供应商应负责在项目验收时将货物的全部有关产品说明书、安装手册、技术 文件、资料及安装、验收报告等文档汇集成册交付采购人。 4、验收 依据 （1）合同文本及合同补充文件（条款）； （2）产品的合法来源渠道证明文件、响应功能证明材料； （3）招标文件； （4）中标人的响应文件； （5）货物清单</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验收合格之日起1年</w:t>
      </w:r>
    </w:p>
    <w:p>
      <w:pPr>
        <w:pStyle w:val="null3"/>
        <w:outlineLvl w:val="3"/>
      </w:pPr>
      <w:r>
        <w:rPr>
          <w:b/>
          <w:sz w:val="24"/>
        </w:rPr>
        <w:t>3.4.8违约责任与解决争议的方法</w:t>
      </w:r>
    </w:p>
    <w:p>
      <w:pPr>
        <w:pStyle w:val="null3"/>
      </w:pPr>
      <w:r>
        <w:rPr/>
        <w:t>采购包1：</w:t>
      </w:r>
    </w:p>
    <w:p>
      <w:pPr>
        <w:pStyle w:val="null3"/>
      </w:pPr>
      <w:r>
        <w:rPr/>
        <w:t>在买方对卖方违约而采取的任何补救措施不受影响的情况下，买方可向卖方发出书面违约通知书，提出终止部分或全部合同： （1）如果卖方未能在合同规定的期限内或买方根据规定同意延长的期限内提供部分或全部货物；或误期赔偿费达到最高限额。 （2）如果卖方未能履行合同规定的其它任何义务。 （3）如果买方认为卖方在本合同的竞争和实施过程中有腐败和欺诈行为。为此目的，定义下述条件： “腐败行为”是指提供、给予、接受或索取任何有价值的物品来影响买方在采购过程或合同实施过程中的行为。“欺诈行为”是指为了影响采购过程或合同实施过程而谎报或隐瞒事实，损害买方利益的行为。 因执行本合同所发生的或与本合同有关的一切争议,双方应通过友好协商解决。如果协商开始后六十（60）天还不能解决，双方可依以下一种方式解决： 1、双方达成仲裁协议，向约定的仲裁委员会申请仲裁。 2、向有管辖权的人民法院起诉。</w:t>
      </w:r>
    </w:p>
    <w:p>
      <w:pPr>
        <w:pStyle w:val="null3"/>
        <w:jc w:val="left"/>
        <w:outlineLvl w:val="2"/>
      </w:pPr>
      <w:r>
        <w:rPr>
          <w:b/>
          <w:sz w:val="28"/>
        </w:rPr>
        <w:t>3.5其他要求</w:t>
      </w:r>
    </w:p>
    <w:p>
      <w:pPr>
        <w:pStyle w:val="null3"/>
      </w:pPr>
      <w:r>
        <w:rPr/>
        <w:t>/</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供应商需提供2022年或2023年度财务审计报告或提供文件递交截止日前三个月从基本户银行开具的资信证明。供应商需在项目电子化交易系统中按要求上传相应证明文件并进行电子签章。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具有独立承担民事责任的能力，提供法人或者其他组织的营业执照等证明文件，自然人参与的提供其有效身份证明</w:t>
            </w:r>
          </w:p>
        </w:tc>
        <w:tc>
          <w:tcPr>
            <w:tcW w:type="dxa" w:w="3322"/>
          </w:tcPr>
          <w:p>
            <w:pPr>
              <w:pStyle w:val="null3"/>
            </w:pPr>
            <w:r>
              <w:rPr/>
              <w:t>具有独立承担民事责任的能力，提供法人或者其他组织的营业执照等证明文件，自然人参与的提供其有效身份证明。</w:t>
            </w:r>
          </w:p>
        </w:tc>
        <w:tc>
          <w:tcPr>
            <w:tcW w:type="dxa" w:w="1661"/>
          </w:tcPr>
          <w:p>
            <w:pPr>
              <w:pStyle w:val="null3"/>
            </w:pPr>
            <w:r>
              <w:rPr/>
              <w:t>投标人应提交的相关资格证明材料 供应商认为需要提供的其他内容</w:t>
            </w:r>
          </w:p>
        </w:tc>
      </w:tr>
      <w:tr>
        <w:tc>
          <w:tcPr>
            <w:tcW w:type="dxa" w:w="831"/>
          </w:tcPr>
          <w:p>
            <w:pPr>
              <w:pStyle w:val="null3"/>
            </w:pPr>
            <w:r>
              <w:rPr/>
              <w:t>2</w:t>
            </w:r>
          </w:p>
        </w:tc>
        <w:tc>
          <w:tcPr>
            <w:tcW w:type="dxa" w:w="2492"/>
          </w:tcPr>
          <w:p>
            <w:pPr>
              <w:pStyle w:val="null3"/>
            </w:pPr>
            <w:r>
              <w:rPr/>
              <w:t>依法缴纳税收和社会保障资金相关材料（投标截止日前6个月任意二个月）</w:t>
            </w:r>
          </w:p>
        </w:tc>
        <w:tc>
          <w:tcPr>
            <w:tcW w:type="dxa" w:w="3322"/>
          </w:tcPr>
          <w:p>
            <w:pPr>
              <w:pStyle w:val="null3"/>
            </w:pPr>
            <w:r>
              <w:rPr/>
              <w:t>依法缴纳税收和社会保障资金相关材料（投标截止日前6个月任意二个月）。</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具有履行合同所必需的设备和专业技术能力（提供承诺函）</w:t>
            </w:r>
          </w:p>
        </w:tc>
        <w:tc>
          <w:tcPr>
            <w:tcW w:type="dxa" w:w="3322"/>
          </w:tcPr>
          <w:p>
            <w:pPr>
              <w:pStyle w:val="null3"/>
            </w:pPr>
            <w:r>
              <w:rPr/>
              <w:t>具有履行合同所必需的设备和专业技术能力（提供承诺函）。</w:t>
            </w:r>
          </w:p>
        </w:tc>
        <w:tc>
          <w:tcPr>
            <w:tcW w:type="dxa" w:w="1661"/>
          </w:tcPr>
          <w:p>
            <w:pPr>
              <w:pStyle w:val="null3"/>
            </w:pPr>
            <w:r>
              <w:rPr/>
              <w:t>投标人应提交的相关资格证明材料 供应商认为需要提供的其他内容</w:t>
            </w:r>
          </w:p>
        </w:tc>
      </w:tr>
      <w:tr>
        <w:tc>
          <w:tcPr>
            <w:tcW w:type="dxa" w:w="831"/>
          </w:tcPr>
          <w:p>
            <w:pPr>
              <w:pStyle w:val="null3"/>
            </w:pPr>
            <w:r>
              <w:rPr/>
              <w:t>4</w:t>
            </w:r>
          </w:p>
        </w:tc>
        <w:tc>
          <w:tcPr>
            <w:tcW w:type="dxa" w:w="2492"/>
          </w:tcPr>
          <w:p>
            <w:pPr>
              <w:pStyle w:val="null3"/>
            </w:pPr>
            <w:r>
              <w:rPr/>
              <w:t>出具本企业参加政府采购活动前三年内经营活动中没有重大违法记录的书面声明</w:t>
            </w:r>
          </w:p>
        </w:tc>
        <w:tc>
          <w:tcPr>
            <w:tcW w:type="dxa" w:w="3322"/>
          </w:tcPr>
          <w:p>
            <w:pPr>
              <w:pStyle w:val="null3"/>
            </w:pPr>
            <w:r>
              <w:rPr/>
              <w:t>出具本企业参加政府采购活动前三年内经营活动中没有重大违法记录的书面声明。</w:t>
            </w:r>
          </w:p>
        </w:tc>
        <w:tc>
          <w:tcPr>
            <w:tcW w:type="dxa" w:w="1661"/>
          </w:tcPr>
          <w:p>
            <w:pPr>
              <w:pStyle w:val="null3"/>
            </w:pPr>
            <w:r>
              <w:rPr/>
              <w:t>投标人应提交的相关资格证明材料 供应商认为需要提供的其他内容</w:t>
            </w:r>
          </w:p>
        </w:tc>
      </w:tr>
      <w:tr>
        <w:tc>
          <w:tcPr>
            <w:tcW w:type="dxa" w:w="831"/>
          </w:tcPr>
          <w:p>
            <w:pPr>
              <w:pStyle w:val="null3"/>
            </w:pPr>
            <w:r>
              <w:rPr/>
              <w:t>5</w:t>
            </w:r>
          </w:p>
        </w:tc>
        <w:tc>
          <w:tcPr>
            <w:tcW w:type="dxa" w:w="2492"/>
          </w:tcPr>
          <w:p>
            <w:pPr>
              <w:pStyle w:val="null3"/>
            </w:pPr>
            <w:r>
              <w:rPr/>
              <w:t>供应商需提供2022年或2023年度财务审计报告或提供文件递交截止日前三个月从基本户银行开具的资信证明。</w:t>
            </w:r>
          </w:p>
        </w:tc>
        <w:tc>
          <w:tcPr>
            <w:tcW w:type="dxa" w:w="3322"/>
          </w:tcPr>
          <w:p>
            <w:pPr>
              <w:pStyle w:val="null3"/>
            </w:pPr>
            <w:r>
              <w:rPr/>
              <w:t>供应商需提供2022年或2023年度财务审计报告或提供文件递交截止日前三个月从基本户银行开具的资信证明。</w:t>
            </w:r>
          </w:p>
        </w:tc>
        <w:tc>
          <w:tcPr>
            <w:tcW w:type="dxa" w:w="1661"/>
          </w:tcPr>
          <w:p>
            <w:pPr>
              <w:pStyle w:val="null3"/>
            </w:pPr>
            <w:r>
              <w:rPr/>
              <w:t>投标函 投标人应提交的相关资格证明材料</w:t>
            </w:r>
          </w:p>
        </w:tc>
      </w:tr>
      <w:tr>
        <w:tc>
          <w:tcPr>
            <w:tcW w:type="dxa" w:w="831"/>
          </w:tcPr>
          <w:p>
            <w:pPr>
              <w:pStyle w:val="null3"/>
            </w:pPr>
            <w:r>
              <w:rPr/>
              <w:t>6</w:t>
            </w:r>
          </w:p>
        </w:tc>
        <w:tc>
          <w:tcPr>
            <w:tcW w:type="dxa" w:w="2492"/>
          </w:tcPr>
          <w:p>
            <w:pPr>
              <w:pStyle w:val="null3"/>
            </w:pPr>
            <w:r>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t>投标人应提交的相关资格证明材料 供应商认为需要提供的其他内容</w:t>
            </w:r>
          </w:p>
        </w:tc>
      </w:tr>
      <w:tr>
        <w:tc>
          <w:tcPr>
            <w:tcW w:type="dxa" w:w="831"/>
          </w:tcPr>
          <w:p>
            <w:pPr>
              <w:pStyle w:val="null3"/>
            </w:pPr>
            <w:r>
              <w:rPr/>
              <w:t>7</w:t>
            </w:r>
          </w:p>
        </w:tc>
        <w:tc>
          <w:tcPr>
            <w:tcW w:type="dxa" w:w="2492"/>
          </w:tcPr>
          <w:p>
            <w:pPr>
              <w:pStyle w:val="null3"/>
            </w:pPr>
            <w:r>
              <w:rPr/>
              <w:t>法定代表人直接参加投标的，须出具法人身份证；授权代表参加投标的，须出具授权书及授权代表身份证。</w:t>
            </w:r>
          </w:p>
        </w:tc>
        <w:tc>
          <w:tcPr>
            <w:tcW w:type="dxa" w:w="3322"/>
          </w:tcPr>
          <w:p>
            <w:pPr>
              <w:pStyle w:val="null3"/>
            </w:pPr>
            <w:r>
              <w:rPr/>
              <w:t>法定代表人直接参加投标的，须出具法人身份证；授权代表参加投标的，须出具授权书及授权代表身份证。</w:t>
            </w:r>
          </w:p>
        </w:tc>
        <w:tc>
          <w:tcPr>
            <w:tcW w:type="dxa" w:w="1661"/>
          </w:tcPr>
          <w:p>
            <w:pPr>
              <w:pStyle w:val="null3"/>
            </w:pPr>
            <w:r>
              <w:rPr/>
              <w:t>法定代表人身份证明及授权委托书 投标人应提交的相关资格证明材料</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投标文件上法定代表人或被授权人的签字齐全并加盖公章。</w:t>
            </w:r>
          </w:p>
        </w:tc>
        <w:tc>
          <w:tcPr>
            <w:tcW w:type="dxa" w:w="1661"/>
          </w:tcPr>
          <w:p>
            <w:pPr>
              <w:pStyle w:val="null3"/>
            </w:pPr>
            <w:r>
              <w:rPr/>
              <w:t>开标一览表 产品技术参数表 法定代表人身份证明及授权委托书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 投标函 标的清单 投标文件封面</w:t>
            </w:r>
          </w:p>
        </w:tc>
      </w:tr>
      <w:tr>
        <w:tc>
          <w:tcPr>
            <w:tcW w:type="dxa" w:w="831"/>
          </w:tcPr>
          <w:p>
            <w:pPr>
              <w:pStyle w:val="null3"/>
            </w:pPr>
            <w:r>
              <w:rPr/>
              <w:t>4</w:t>
            </w:r>
          </w:p>
        </w:tc>
        <w:tc>
          <w:tcPr>
            <w:tcW w:type="dxa" w:w="2492"/>
          </w:tcPr>
          <w:p>
            <w:pPr>
              <w:pStyle w:val="null3"/>
            </w:pPr>
            <w:r>
              <w:rPr/>
              <w:t>投标响应文件响应内容</w:t>
            </w:r>
          </w:p>
        </w:tc>
        <w:tc>
          <w:tcPr>
            <w:tcW w:type="dxa" w:w="3322"/>
          </w:tcPr>
          <w:p>
            <w:pPr>
              <w:pStyle w:val="null3"/>
            </w:pPr>
            <w:r>
              <w:rPr/>
              <w:t>响应文件内容齐全、无遗漏。</w:t>
            </w:r>
          </w:p>
        </w:tc>
        <w:tc>
          <w:tcPr>
            <w:tcW w:type="dxa" w:w="1661"/>
          </w:tcPr>
          <w:p>
            <w:pPr>
              <w:pStyle w:val="null3"/>
            </w:pPr>
            <w:r>
              <w:rPr/>
              <w:t>开标一览表 产品技术参数表 法定代表人身份证明及授权委托书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5</w:t>
            </w:r>
          </w:p>
        </w:tc>
        <w:tc>
          <w:tcPr>
            <w:tcW w:type="dxa" w:w="2492"/>
          </w:tcPr>
          <w:p>
            <w:pPr>
              <w:pStyle w:val="null3"/>
            </w:pPr>
            <w:r>
              <w:rPr/>
              <w:t>交货期及质保期</w:t>
            </w:r>
          </w:p>
        </w:tc>
        <w:tc>
          <w:tcPr>
            <w:tcW w:type="dxa" w:w="3322"/>
          </w:tcPr>
          <w:p>
            <w:pPr>
              <w:pStyle w:val="null3"/>
            </w:pPr>
            <w:r>
              <w:rPr/>
              <w:t>满足招标文件要求的交货期及质保期</w:t>
            </w:r>
          </w:p>
        </w:tc>
        <w:tc>
          <w:tcPr>
            <w:tcW w:type="dxa" w:w="1661"/>
          </w:tcPr>
          <w:p>
            <w:pPr>
              <w:pStyle w:val="null3"/>
            </w:pPr>
            <w:r>
              <w:rPr/>
              <w:t>开标一览表 投标函 商务应答表 投标文件封面</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投标函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实施方案:项目组织实施计划完整可行，人员配置及财力等保障措施可靠，能够保证按期供货，具有明确的项目组织机构及实施方案。</w:t>
            </w:r>
          </w:p>
        </w:tc>
        <w:tc>
          <w:tcPr>
            <w:tcW w:type="dxa" w:w="2492"/>
          </w:tcPr>
          <w:p>
            <w:pPr>
              <w:pStyle w:val="null3"/>
            </w:pPr>
            <w:r>
              <w:rPr/>
              <w:t>①方案全面、系统详细，工作思路、方案合理，工作内容明确，可行性高，计 8-10 分； ②方案完整性一般，编制的系统性、合理性和详细程度可行性一般，计 5-7 分； ③方案内容有严重欠缺、薄弱、合理性和详细程度可行性较差计1-4分；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供货服务方案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所投产品的合法来源渠道及产品合格证明文件</w:t>
            </w:r>
          </w:p>
        </w:tc>
        <w:tc>
          <w:tcPr>
            <w:tcW w:type="dxa" w:w="2492"/>
          </w:tcPr>
          <w:p>
            <w:pPr>
              <w:pStyle w:val="null3"/>
            </w:pPr>
            <w:r>
              <w:rPr/>
              <w:t>提供所投产品的合法来源渠道及产品合格证明文件所投产品应符合国家行业标准（包括但不限于厂家授权、销售协议、代理协议、检验或检测报告等）。根据提供情况酌情赋分1-8分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供货服务方案</w:t>
            </w:r>
          </w:p>
        </w:tc>
      </w:tr>
      <w:tr>
        <w:tc>
          <w:tcPr>
            <w:tcW w:type="dxa" w:w="831"/>
            <w:vMerge/>
          </w:tcPr>
          <w:p/>
        </w:tc>
        <w:tc>
          <w:tcPr>
            <w:tcW w:type="dxa" w:w="1661"/>
          </w:tcPr>
          <w:p>
            <w:pPr>
              <w:pStyle w:val="null3"/>
            </w:pPr>
            <w:r>
              <w:rPr/>
              <w:t>项目供货方案：有具体的备货、供货安排及供货进度保证措施 ，货物安全保障措施等说明。</w:t>
            </w:r>
          </w:p>
        </w:tc>
        <w:tc>
          <w:tcPr>
            <w:tcW w:type="dxa" w:w="2492"/>
          </w:tcPr>
          <w:p>
            <w:pPr>
              <w:pStyle w:val="null3"/>
            </w:pPr>
            <w:r>
              <w:rPr/>
              <w:t>①方案内容完整、全面、详细的计8-10分； ②方案内容有欠缺、较薄弱的计5-7分； ③方案内容有严重欠缺、薄弱的计1-4分；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供货服务方案</w:t>
            </w:r>
          </w:p>
        </w:tc>
      </w:tr>
      <w:tr>
        <w:tc>
          <w:tcPr>
            <w:tcW w:type="dxa" w:w="831"/>
            <w:vMerge/>
          </w:tcPr>
          <w:p/>
        </w:tc>
        <w:tc>
          <w:tcPr>
            <w:tcW w:type="dxa" w:w="1661"/>
          </w:tcPr>
          <w:p>
            <w:pPr>
              <w:pStyle w:val="null3"/>
            </w:pPr>
            <w:r>
              <w:rPr/>
              <w:t>工作进度计划及保障措施</w:t>
            </w:r>
          </w:p>
        </w:tc>
        <w:tc>
          <w:tcPr>
            <w:tcW w:type="dxa" w:w="2492"/>
          </w:tcPr>
          <w:p>
            <w:pPr>
              <w:pStyle w:val="null3"/>
            </w:pPr>
            <w:r>
              <w:rPr/>
              <w:t>①保障体系及措施科学、合理，8～10分； ②保障体系及措施基本合理、可行，5～7分； ③保障体系及措施合理性和可行性较差，1～4分；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供货服务方案</w:t>
            </w:r>
          </w:p>
        </w:tc>
      </w:tr>
      <w:tr>
        <w:tc>
          <w:tcPr>
            <w:tcW w:type="dxa" w:w="831"/>
            <w:vMerge/>
          </w:tcPr>
          <w:p/>
        </w:tc>
        <w:tc>
          <w:tcPr>
            <w:tcW w:type="dxa" w:w="1661"/>
          </w:tcPr>
          <w:p>
            <w:pPr>
              <w:pStyle w:val="null3"/>
            </w:pPr>
            <w:r>
              <w:rPr/>
              <w:t>售后服务：包括但不限于拟投入售后服务人员配置情况、项目交付用户后出现问题响应时间及措施、质量保证范围以及相关后期服务承诺等方面 。</w:t>
            </w:r>
          </w:p>
        </w:tc>
        <w:tc>
          <w:tcPr>
            <w:tcW w:type="dxa" w:w="2492"/>
          </w:tcPr>
          <w:p>
            <w:pPr>
              <w:pStyle w:val="null3"/>
            </w:pPr>
            <w:r>
              <w:rPr/>
              <w:t>①售后服务方案内容具体、完整、详细、全面的计8-10分； ②售后服务方案内容欠缺、薄弱的计5-7分； ③售后服务方案内容有严重欠缺、薄弱的计1-4分；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供货服务方案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提供详尽的培训方案及培训计划， 并列出培训的具体内容及方式，确保使用人员能够独立操作，并进行简单故障排查处理（ 包括：培训人 数、培训时间、培训内容等 ）。</w:t>
            </w:r>
          </w:p>
        </w:tc>
        <w:tc>
          <w:tcPr>
            <w:tcW w:type="dxa" w:w="2492"/>
          </w:tcPr>
          <w:p>
            <w:pPr>
              <w:pStyle w:val="null3"/>
            </w:pPr>
            <w:r>
              <w:rPr/>
              <w:t>①培训方案内容具体、完整、详细、全面的计8-10分； ②培训方案内容欠缺、薄弱的计5-7分； ③培训方案内容有严重欠缺、薄弱的计1-4分；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供货服务方案</w:t>
            </w:r>
          </w:p>
        </w:tc>
      </w:tr>
      <w:tr>
        <w:tc>
          <w:tcPr>
            <w:tcW w:type="dxa" w:w="831"/>
            <w:vMerge/>
          </w:tcPr>
          <w:p/>
        </w:tc>
        <w:tc>
          <w:tcPr>
            <w:tcW w:type="dxa" w:w="1661"/>
          </w:tcPr>
          <w:p>
            <w:pPr>
              <w:pStyle w:val="null3"/>
            </w:pPr>
            <w:r>
              <w:rPr/>
              <w:t>应急处理：供应商针对本项目提供故障突发事件的处理方案以及故障响应的时效性保证措施。</w:t>
            </w:r>
          </w:p>
        </w:tc>
        <w:tc>
          <w:tcPr>
            <w:tcW w:type="dxa" w:w="2492"/>
          </w:tcPr>
          <w:p>
            <w:pPr>
              <w:pStyle w:val="null3"/>
            </w:pPr>
            <w:r>
              <w:rPr/>
              <w:t>①方案内容完整、全面、详细的计8-10分； ②方案内容有欠缺、较薄弱的计5-7分； ③方案内容有严重欠缺、薄弱的计1-4分；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供货服务方案</w:t>
            </w:r>
          </w:p>
        </w:tc>
      </w:tr>
      <w:tr>
        <w:tc>
          <w:tcPr>
            <w:tcW w:type="dxa" w:w="831"/>
            <w:vMerge/>
          </w:tcPr>
          <w:p/>
        </w:tc>
        <w:tc>
          <w:tcPr>
            <w:tcW w:type="dxa" w:w="1661"/>
          </w:tcPr>
          <w:p>
            <w:pPr>
              <w:pStyle w:val="null3"/>
            </w:pPr>
            <w:r>
              <w:rPr/>
              <w:t>以合同或成交通知书的形式提供投标人近 三年（2021年1月至 今）类似业绩。</w:t>
            </w:r>
          </w:p>
        </w:tc>
        <w:tc>
          <w:tcPr>
            <w:tcW w:type="dxa" w:w="2492"/>
          </w:tcPr>
          <w:p>
            <w:pPr>
              <w:pStyle w:val="null3"/>
            </w:pPr>
            <w:r>
              <w:rPr/>
              <w:t>需同时提供合同或成交（中标）通知书，提供不全不得分，每一份计0.5 分，计满2分为止</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供货服务方案</w:t>
            </w:r>
          </w:p>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采用低价优先法计算，即满足招标文件要求且投标价格最低的投标报价为评标基准价，按照下列公式计算： 投标报价得分=（评标基准价/投标报价）×价格权值（即30%）×100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详见附件：法定代表人身份证明及授权委托书</w:t>
      </w:r>
    </w:p>
    <w:p>
      <w:pPr>
        <w:pStyle w:val="null3"/>
        <w:ind w:firstLine="960"/>
      </w:pPr>
      <w:r>
        <w:rPr/>
        <w:t>详见附件：供应商认为需要提供的其他内容</w:t>
      </w:r>
    </w:p>
    <w:p>
      <w:pPr>
        <w:pStyle w:val="null3"/>
        <w:ind w:firstLine="960"/>
      </w:pPr>
      <w:r>
        <w:rPr/>
        <w:t>详见附件：供货服务方案</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详见附件：合同条款11.docx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