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版本号：240611002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高楼河中小学教学设备采购项目</w:t>
      </w:r>
    </w:p>
    <w:p>
      <w:pPr>
        <w:pStyle w:val="null3"/>
        <w:jc w:val="center"/>
        <w:outlineLvl w:val="2"/>
      </w:pPr>
      <w:r>
        <w:rPr>
          <w:sz w:val="28"/>
          <w:b/>
        </w:rPr>
        <w:t>采购项目编号：</w:t>
      </w:r>
      <w:r>
        <w:rPr>
          <w:sz w:val="28"/>
          <w:b/>
        </w:rPr>
        <w:t>XAXC2024(Z)-HW-010</w:t>
      </w:r>
      <w:r>
        <w:br/>
      </w:r>
      <w:r>
        <w:br/>
      </w:r>
      <w:r>
        <w:br/>
      </w:r>
    </w:p>
    <w:p>
      <w:pPr>
        <w:pStyle w:val="null3"/>
        <w:jc w:val="center"/>
        <w:outlineLvl w:val="2"/>
      </w:pPr>
      <w:r>
        <w:rPr>
          <w:sz w:val="28"/>
          <w:b/>
        </w:rPr>
        <w:t>铜川市印台区高楼河中小学</w:t>
      </w:r>
    </w:p>
    <w:p>
      <w:pPr>
        <w:pStyle w:val="null3"/>
        <w:jc w:val="center"/>
        <w:outlineLvl w:val="2"/>
      </w:pPr>
      <w:r>
        <w:rPr>
          <w:sz w:val="28"/>
          <w:b/>
        </w:rPr>
        <w:t>西安新策建设工程咨询有限公司</w:t>
      </w:r>
      <w:r>
        <w:rPr>
          <w:sz w:val="28"/>
          <w:b/>
        </w:rPr>
        <w:t>共同编制</w:t>
      </w:r>
    </w:p>
    <w:p>
      <w:pPr>
        <w:pStyle w:val="null3"/>
        <w:jc w:val="center"/>
        <w:outlineLvl w:val="2"/>
      </w:pPr>
      <w:r>
        <w:rPr>
          <w:sz w:val="28"/>
          <w:b/>
        </w:rPr>
        <w:t>2024年06月11日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西安新策建设工程咨询有限公司</w:t>
      </w:r>
      <w:r>
        <w:rPr/>
        <w:t>（以下简称“代理机构”）受</w:t>
      </w:r>
      <w:r>
        <w:rPr/>
        <w:t>铜川市印台区高楼河中小学</w:t>
      </w:r>
      <w:r>
        <w:rPr/>
        <w:t>委托，拟对</w:t>
      </w:r>
      <w:r>
        <w:rPr/>
        <w:t>高楼河中小学教学设备采购项目</w:t>
      </w:r>
      <w:r>
        <w:rPr/>
        <w:t>进行国内公开招标，兹邀请符合本次招标要求的供应商参加投标。</w:t>
      </w:r>
    </w:p>
    <w:p>
      <w:pPr>
        <w:pStyle w:val="null3"/>
        <w:outlineLvl w:val="2"/>
      </w:pPr>
      <w:r>
        <w:rPr>
          <w:sz w:val="28"/>
          <w:b/>
        </w:rPr>
        <w:t>一、采购项目编号：</w:t>
      </w:r>
      <w:r>
        <w:rPr>
          <w:sz w:val="28"/>
          <w:b/>
        </w:rPr>
        <w:t>XAXC2024(Z)-HW-010</w:t>
      </w:r>
    </w:p>
    <w:p>
      <w:pPr>
        <w:pStyle w:val="null3"/>
        <w:outlineLvl w:val="2"/>
      </w:pPr>
      <w:r>
        <w:rPr>
          <w:sz w:val="28"/>
          <w:b/>
        </w:rPr>
        <w:t>二、采购项目名称：</w:t>
      </w:r>
      <w:r>
        <w:rPr>
          <w:sz w:val="28"/>
          <w:b/>
        </w:rPr>
        <w:t>高楼河中小学教学设备采购项目</w:t>
      </w:r>
    </w:p>
    <w:p>
      <w:pPr>
        <w:pStyle w:val="null3"/>
        <w:outlineLvl w:val="2"/>
      </w:pPr>
      <w:r>
        <w:rPr>
          <w:sz w:val="28"/>
          <w:b/>
        </w:rPr>
        <w:t>三、招标项目简介</w:t>
      </w:r>
    </w:p>
    <w:p>
      <w:pPr>
        <w:pStyle w:val="null3"/>
        <w:ind w:firstLine="480"/>
      </w:pPr>
      <w:r>
        <w:rPr/>
        <w:t>为了改善办学条件，提高教育教学质量，添置教学设备一批。具体要求详见招标文件。</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1、营业执照等主体资格证明文件：具有独立承担民事责任能力的法人、其他组织或自然人，并出具合法有效的营业执照或事业单位法人证书等国家规定的相关证明，自然人参与的提供其身份证明。</w:t>
      </w:r>
    </w:p>
    <w:p>
      <w:pPr>
        <w:pStyle w:val="null3"/>
      </w:pPr>
      <w:r>
        <w:rPr/>
        <w:t>2、财务状况报告：提供2022年度或2023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t>3、税收缴纳证明：提交投标文件截止时间前一年内至少一个月的纳税证明或完税证明，纳税证明或完税证明上应有代收机构或税务机关的公章或业务专用章，依法免税的投标人应提供相应文件证明。</w:t>
      </w:r>
    </w:p>
    <w:p>
      <w:pPr>
        <w:pStyle w:val="null3"/>
      </w:pPr>
      <w:r>
        <w:rPr/>
        <w:t>4、社会保障资金缴纳证明：提交投标文件截止时间前一年内已缴存的至少一个月的社会保障资金缴存单据或社保机构开具的社会保险参保缴费情况证明，依法不需要缴纳社会保障资金的单位应提供相关证明材料。</w:t>
      </w:r>
    </w:p>
    <w:p>
      <w:pPr>
        <w:pStyle w:val="null3"/>
      </w:pPr>
      <w:r>
        <w:rPr/>
        <w:t>5、信用查询：投标人不得在“中国执行信息公开网（http://zxgk.court.gov.cn/）”网站被列为失信被执行人；不得在“信用中国”（www.creditchina.gov.cn）网站被列入严重失信主体名单和重大税收违法失信主体；不得在“中国政府采购 网”（www.ccgp.gov.cn）网站被列入政府采购严重违法失信行为记录名单。</w:t>
      </w:r>
    </w:p>
    <w:p>
      <w:pPr>
        <w:pStyle w:val="null3"/>
      </w:pPr>
      <w:r>
        <w:rPr/>
        <w:t>6、履约能力：投标人具备履行合同所必需的设备和专业技术能力（提供承诺书）。</w:t>
      </w:r>
    </w:p>
    <w:p>
      <w:pPr>
        <w:pStyle w:val="null3"/>
      </w:pPr>
      <w:r>
        <w:rPr/>
        <w:t>7、无重大违法记录：参加政府采购活动前3年内，在经营活动中没有重大违法记录（提供书面声明函）。</w:t>
      </w:r>
    </w:p>
    <w:p>
      <w:pPr>
        <w:pStyle w:val="null3"/>
      </w:pPr>
      <w:r>
        <w:rPr/>
        <w:t>8、控股管理关系：提供直接控股和管理关系清单。若与其他供应商存在单位负责人为同一人或者存在直接控股、管理关系的，则投标无效。</w:t>
      </w:r>
    </w:p>
    <w:p>
      <w:pPr>
        <w:pStyle w:val="null3"/>
      </w:pPr>
      <w:r>
        <w:rPr/>
        <w:t>9、法定代表人身份证明或法定代表人授权委托书：法定代表人直接参加投标的，须出具法定代表人身份证明及身份证原件；法定代表人授权代表参加投标的，须出具法定代表人授权书及授权代表身份证原件。投标文件中凡是需要法定代表人盖章之处，非法人单位的负责人均参照执行。</w:t>
      </w:r>
    </w:p>
    <w:p>
      <w:pPr>
        <w:pStyle w:val="null3"/>
      </w:pPr>
      <w:r>
        <w:rPr/>
        <w:t>10、联合体情况：本项目不接受联合体投标（提供承诺书）。</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铜川市印台区高楼河中小学</w:t>
      </w:r>
    </w:p>
    <w:p>
      <w:pPr>
        <w:pStyle w:val="null3"/>
      </w:pPr>
      <w:r>
        <w:rPr/>
        <w:t xml:space="preserve"> 地址： </w:t>
      </w:r>
      <w:r>
        <w:rPr/>
        <w:t>铜川市印台区广阳镇高广路1号</w:t>
      </w:r>
    </w:p>
    <w:p>
      <w:pPr>
        <w:pStyle w:val="null3"/>
      </w:pPr>
      <w:r>
        <w:rPr/>
        <w:t xml:space="preserve"> 邮编： </w:t>
      </w:r>
      <w:r>
        <w:rPr/>
        <w:t>727021</w:t>
      </w:r>
    </w:p>
    <w:p>
      <w:pPr>
        <w:pStyle w:val="null3"/>
      </w:pPr>
      <w:r>
        <w:rPr/>
        <w:t xml:space="preserve"> 联系人： </w:t>
      </w:r>
      <w:r>
        <w:rPr/>
        <w:t>铜川市印台区高楼河中小学经办</w:t>
      </w:r>
    </w:p>
    <w:p>
      <w:pPr>
        <w:pStyle w:val="null3"/>
      </w:pPr>
      <w:r>
        <w:rPr/>
        <w:t xml:space="preserve"> 联系电话： </w:t>
      </w:r>
      <w:r>
        <w:rPr/>
        <w:t>18109198121</w:t>
      </w:r>
    </w:p>
    <w:p>
      <w:pPr>
        <w:pStyle w:val="null3"/>
        <w:outlineLvl w:val="2"/>
      </w:pPr>
      <w:r>
        <w:rPr>
          <w:sz w:val="28"/>
          <w:b/>
        </w:rPr>
        <w:t>代理机构：</w:t>
      </w:r>
      <w:r>
        <w:rPr>
          <w:sz w:val="28"/>
          <w:b/>
        </w:rPr>
        <w:t>西安新策建设工程咨询有限公司</w:t>
      </w:r>
    </w:p>
    <w:p>
      <w:pPr>
        <w:pStyle w:val="null3"/>
      </w:pPr>
      <w:r>
        <w:rPr/>
        <w:t xml:space="preserve"> 地址： </w:t>
      </w:r>
      <w:r>
        <w:rPr/>
        <w:t>陕西省铜川市新区鸿基路 1 号领地未来城商务中心 1 单元 2201号</w:t>
      </w:r>
    </w:p>
    <w:p>
      <w:pPr>
        <w:pStyle w:val="null3"/>
      </w:pPr>
      <w:r>
        <w:rPr/>
        <w:t xml:space="preserve"> 邮编： </w:t>
      </w:r>
      <w:r>
        <w:rPr/>
        <w:t>727100</w:t>
      </w:r>
    </w:p>
    <w:p>
      <w:pPr>
        <w:pStyle w:val="null3"/>
      </w:pPr>
      <w:r>
        <w:rPr/>
        <w:t xml:space="preserve"> 联系人： </w:t>
      </w:r>
      <w:r>
        <w:rPr/>
        <w:t>新策经办</w:t>
      </w:r>
    </w:p>
    <w:p>
      <w:pPr>
        <w:pStyle w:val="null3"/>
      </w:pPr>
      <w:r>
        <w:rPr/>
        <w:t xml:space="preserve"> 联系电话： </w:t>
      </w:r>
      <w:r>
        <w:rPr/>
        <w:t>0919-3198519</w:t>
      </w:r>
    </w:p>
    <w:p>
      <w:pPr>
        <w:pStyle w:val="null3"/>
        <w:outlineLvl w:val="2"/>
      </w:pPr>
      <w:r>
        <w:rPr>
          <w:sz w:val="28"/>
          <w:b/>
        </w:rPr>
        <w:t>采购监督机构：</w:t>
      </w:r>
      <w:r>
        <w:rPr>
          <w:sz w:val="28"/>
          <w:b/>
        </w:rPr>
        <w:t>铜川市印台区政府采购管理股</w:t>
      </w:r>
    </w:p>
    <w:p>
      <w:pPr>
        <w:pStyle w:val="null3"/>
        <w:ind w:firstLine="480"/>
      </w:pPr>
      <w:r>
        <w:rPr/>
        <w:t>联系人：</w:t>
      </w:r>
      <w:r>
        <w:rPr/>
        <w:t>孟繁胜</w:t>
      </w:r>
    </w:p>
    <w:p>
      <w:pPr>
        <w:pStyle w:val="null3"/>
        <w:ind w:firstLine="480"/>
      </w:pPr>
      <w:r>
        <w:rPr/>
        <w:t>联系电话：</w:t>
      </w:r>
      <w:r>
        <w:rPr/>
        <w:t>0919-4191018</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采购包1：370,000.00元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铜川市印台区高楼河中小学</w:t>
      </w:r>
      <w:r>
        <w:rPr/>
        <w:t>和</w:t>
      </w:r>
      <w:r>
        <w:rPr/>
        <w:t>西安新策建设工程咨询有限公司</w:t>
      </w:r>
      <w:r>
        <w:rPr/>
        <w:t>享有。对招标文件中供应商参加本次政府采购活动应当具备的条件，招标项目技术、服务、商务及其他要求，评标细则及标准由</w:t>
      </w:r>
      <w:r>
        <w:rPr/>
        <w:t>铜川市印台区高楼河中小学</w:t>
      </w:r>
      <w:r>
        <w:rPr/>
        <w:t>负责解释。除上述招标文件内容，其他内容由</w:t>
      </w:r>
      <w:r>
        <w:rPr/>
        <w:t>西安新策建设工程咨询有限公司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铜川市印台区高楼河中小学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西安新策建设工程咨询有限公司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按时按质按量按标准完成。</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西安新策建设工程咨询有限公司</w:t>
      </w:r>
      <w:r>
        <w:rPr/>
        <w:t xml:space="preserve"> 负责答复；供应商对除采购需求外的采购文件的询问、质疑由</w:t>
      </w:r>
      <w:r>
        <w:rPr/>
        <w:t>西安新策建设工程咨询有限公司</w:t>
      </w:r>
      <w:r>
        <w:rPr/>
        <w:t xml:space="preserve"> 负责答复；供应商对采购过程、采购结果的询问、质疑由 </w:t>
      </w:r>
      <w:r>
        <w:rPr/>
        <w:t>西安新策建设工程咨询有限公司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联系人：新策经办</w:t>
      </w:r>
    </w:p>
    <w:p>
      <w:pPr>
        <w:pStyle w:val="null3"/>
      </w:pPr>
      <w:r>
        <w:rPr/>
        <w:t>联系电话：0919-3198519</w:t>
      </w:r>
    </w:p>
    <w:p>
      <w:pPr>
        <w:pStyle w:val="null3"/>
      </w:pPr>
      <w:r>
        <w:rPr/>
        <w:t>地址：陕西省铜川市新区鸿基路 1 号领地未来城商务中心 1 单元 2201号</w:t>
      </w:r>
    </w:p>
    <w:p>
      <w:pPr>
        <w:pStyle w:val="null3"/>
      </w:pPr>
      <w:r>
        <w:rPr/>
        <w:t>邮编：727100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为了改善办学条件，提高教育教学质量，添置教学设备一批。具体要求详见招标文件。</w:t>
      </w:r>
    </w:p>
    <w:p>
      <w:pPr>
        <w:pStyle w:val="null3"/>
        <w:outlineLvl w:val="2"/>
      </w:pPr>
      <w:r>
        <w:rPr>
          <w:sz w:val="28"/>
          <w:b/>
        </w:rPr>
        <w:t>3.2采购内容</w:t>
      </w:r>
    </w:p>
    <w:p>
      <w:pPr>
        <w:pStyle w:val="null3"/>
      </w:pPr>
      <w:r>
        <w:rPr/>
        <w:t>采购包1：</w:t>
      </w:r>
    </w:p>
    <w:p>
      <w:pPr>
        <w:pStyle w:val="null3"/>
      </w:pPr>
      <w:r>
        <w:rPr/>
        <w:t>采购包预算金额（元）: 370,000.00</w:t>
      </w:r>
    </w:p>
    <w:p>
      <w:pPr>
        <w:pStyle w:val="null3"/>
      </w:pPr>
      <w:r>
        <w:rPr/>
        <w:t>采购包最高限价（元）: 370,000.00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智慧黑板（86寸）</w:t>
            </w:r>
          </w:p>
        </w:tc>
        <w:tc>
          <w:tcPr>
            <w:tcW w:type="dxa" w:w="831"/>
          </w:tcPr>
          <w:p>
            <w:pPr>
              <w:pStyle w:val="null3"/>
              <w:jc w:val="right"/>
            </w:pPr>
            <w:r>
              <w:rPr/>
              <w:t>6.00</w:t>
            </w:r>
          </w:p>
        </w:tc>
        <w:tc>
          <w:tcPr>
            <w:tcW w:type="dxa" w:w="831"/>
          </w:tcPr>
          <w:p>
            <w:pPr>
              <w:pStyle w:val="null3"/>
              <w:jc w:val="right"/>
            </w:pPr>
            <w:r>
              <w:rPr/>
              <w:t>204,000.00</w:t>
            </w:r>
          </w:p>
        </w:tc>
        <w:tc>
          <w:tcPr>
            <w:tcW w:type="dxa" w:w="831"/>
          </w:tcPr>
          <w:p>
            <w:pPr>
              <w:pStyle w:val="null3"/>
            </w:pPr>
            <w:r>
              <w:rPr/>
              <w:t>台</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视频展台</w:t>
            </w:r>
          </w:p>
        </w:tc>
        <w:tc>
          <w:tcPr>
            <w:tcW w:type="dxa" w:w="831"/>
          </w:tcPr>
          <w:p>
            <w:pPr>
              <w:pStyle w:val="null3"/>
              <w:jc w:val="right"/>
            </w:pPr>
            <w:r>
              <w:rPr/>
              <w:t>6.00</w:t>
            </w:r>
          </w:p>
        </w:tc>
        <w:tc>
          <w:tcPr>
            <w:tcW w:type="dxa" w:w="831"/>
          </w:tcPr>
          <w:p>
            <w:pPr>
              <w:pStyle w:val="null3"/>
              <w:jc w:val="right"/>
            </w:pPr>
            <w:r>
              <w:rPr/>
              <w:t>5,700.00</w:t>
            </w:r>
          </w:p>
        </w:tc>
        <w:tc>
          <w:tcPr>
            <w:tcW w:type="dxa" w:w="831"/>
          </w:tcPr>
          <w:p>
            <w:pPr>
              <w:pStyle w:val="null3"/>
            </w:pPr>
            <w:r>
              <w:rPr/>
              <w:t>台</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笔记本电脑</w:t>
            </w:r>
          </w:p>
        </w:tc>
        <w:tc>
          <w:tcPr>
            <w:tcW w:type="dxa" w:w="831"/>
          </w:tcPr>
          <w:p>
            <w:pPr>
              <w:pStyle w:val="null3"/>
              <w:jc w:val="right"/>
            </w:pPr>
            <w:r>
              <w:rPr/>
              <w:t>14.00</w:t>
            </w:r>
          </w:p>
        </w:tc>
        <w:tc>
          <w:tcPr>
            <w:tcW w:type="dxa" w:w="831"/>
          </w:tcPr>
          <w:p>
            <w:pPr>
              <w:pStyle w:val="null3"/>
              <w:jc w:val="right"/>
            </w:pPr>
            <w:r>
              <w:rPr/>
              <w:t>77,000.00</w:t>
            </w:r>
          </w:p>
        </w:tc>
        <w:tc>
          <w:tcPr>
            <w:tcW w:type="dxa" w:w="831"/>
          </w:tcPr>
          <w:p>
            <w:pPr>
              <w:pStyle w:val="null3"/>
            </w:pPr>
            <w:r>
              <w:rPr/>
              <w:t>台</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w:t>
            </w:r>
          </w:p>
        </w:tc>
        <w:tc>
          <w:tcPr>
            <w:tcW w:type="dxa" w:w="831"/>
          </w:tcPr>
          <w:p>
            <w:pPr>
              <w:pStyle w:val="null3"/>
            </w:pPr>
            <w:r>
              <w:rPr/>
              <w:t>系统办公软件</w:t>
            </w:r>
          </w:p>
        </w:tc>
        <w:tc>
          <w:tcPr>
            <w:tcW w:type="dxa" w:w="831"/>
          </w:tcPr>
          <w:p>
            <w:pPr>
              <w:pStyle w:val="null3"/>
              <w:jc w:val="right"/>
            </w:pPr>
            <w:r>
              <w:rPr/>
              <w:t>16.00</w:t>
            </w:r>
          </w:p>
        </w:tc>
        <w:tc>
          <w:tcPr>
            <w:tcW w:type="dxa" w:w="831"/>
          </w:tcPr>
          <w:p>
            <w:pPr>
              <w:pStyle w:val="null3"/>
              <w:jc w:val="right"/>
            </w:pPr>
            <w:r>
              <w:rPr/>
              <w:t>24,000.00</w:t>
            </w:r>
          </w:p>
        </w:tc>
        <w:tc>
          <w:tcPr>
            <w:tcW w:type="dxa" w:w="831"/>
          </w:tcPr>
          <w:p>
            <w:pPr>
              <w:pStyle w:val="null3"/>
            </w:pPr>
            <w:r>
              <w:rPr/>
              <w:t>套</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w:t>
            </w:r>
          </w:p>
        </w:tc>
        <w:tc>
          <w:tcPr>
            <w:tcW w:type="dxa" w:w="831"/>
          </w:tcPr>
          <w:p>
            <w:pPr>
              <w:pStyle w:val="null3"/>
            </w:pPr>
            <w:r>
              <w:rPr/>
              <w:t>台式电脑</w:t>
            </w:r>
          </w:p>
        </w:tc>
        <w:tc>
          <w:tcPr>
            <w:tcW w:type="dxa" w:w="831"/>
          </w:tcPr>
          <w:p>
            <w:pPr>
              <w:pStyle w:val="null3"/>
              <w:jc w:val="right"/>
            </w:pPr>
            <w:r>
              <w:rPr/>
              <w:t>2.00</w:t>
            </w:r>
          </w:p>
        </w:tc>
        <w:tc>
          <w:tcPr>
            <w:tcW w:type="dxa" w:w="831"/>
          </w:tcPr>
          <w:p>
            <w:pPr>
              <w:pStyle w:val="null3"/>
              <w:jc w:val="right"/>
            </w:pPr>
            <w:r>
              <w:rPr/>
              <w:t>8,300.00</w:t>
            </w:r>
          </w:p>
        </w:tc>
        <w:tc>
          <w:tcPr>
            <w:tcW w:type="dxa" w:w="831"/>
          </w:tcPr>
          <w:p>
            <w:pPr>
              <w:pStyle w:val="null3"/>
            </w:pPr>
            <w:r>
              <w:rPr/>
              <w:t>台</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w:t>
            </w:r>
          </w:p>
        </w:tc>
        <w:tc>
          <w:tcPr>
            <w:tcW w:type="dxa" w:w="831"/>
          </w:tcPr>
          <w:p>
            <w:pPr>
              <w:pStyle w:val="null3"/>
            </w:pPr>
            <w:r>
              <w:rPr/>
              <w:t>教室护眼灯</w:t>
            </w:r>
          </w:p>
        </w:tc>
        <w:tc>
          <w:tcPr>
            <w:tcW w:type="dxa" w:w="831"/>
          </w:tcPr>
          <w:p>
            <w:pPr>
              <w:pStyle w:val="null3"/>
              <w:jc w:val="right"/>
            </w:pPr>
            <w:r>
              <w:rPr/>
              <w:t>60.00</w:t>
            </w:r>
          </w:p>
        </w:tc>
        <w:tc>
          <w:tcPr>
            <w:tcW w:type="dxa" w:w="831"/>
          </w:tcPr>
          <w:p>
            <w:pPr>
              <w:pStyle w:val="null3"/>
              <w:jc w:val="right"/>
            </w:pPr>
            <w:r>
              <w:rPr/>
              <w:t>51,000.00</w:t>
            </w:r>
          </w:p>
        </w:tc>
        <w:tc>
          <w:tcPr>
            <w:tcW w:type="dxa" w:w="831"/>
          </w:tcPr>
          <w:p>
            <w:pPr>
              <w:pStyle w:val="null3"/>
            </w:pPr>
            <w:r>
              <w:rPr/>
              <w:t>个</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标的名称：智慧黑板（86寸）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t>智慧黑板（86寸）：</w:t>
            </w:r>
          </w:p>
          <w:p>
            <w:pPr>
              <w:pStyle w:val="null3"/>
            </w:pPr>
            <w:r>
              <w:rPr/>
              <w:t>一、整机要求</w:t>
            </w:r>
            <w:r>
              <w:br/>
            </w:r>
            <w:r>
              <w:rPr/>
              <w:t xml:space="preserve"> 1.整机采用全金属外壳，屏幕边缘采用圆角包边防护，整机背板采用金属材质,外观尺寸：宽≥4200mm，高≥1200mm。</w:t>
            </w:r>
            <w:r>
              <w:br/>
            </w:r>
            <w:r>
              <w:rPr/>
              <w:t xml:space="preserve"> 2.★整机设备自带地震预警软件，支持在地震预警页面中获取位置，可以手动进行位置校准，支持在地震预警页面中选择提醒阈值。支持在地震预警界面中开启和关闭地震预警服务。</w:t>
            </w:r>
            <w:r>
              <w:br/>
            </w:r>
            <w:r>
              <w:rPr/>
              <w:t xml:space="preserve"> 3.侧置输入接口具备≥2路HDMI、≥1路RS232、≥1路USB接口；≥1路音频输出、≥1路触控USB输出；前置输入接口具备≥3路USB接口（至少包含1路Type-C）。</w:t>
            </w:r>
            <w:r>
              <w:br/>
            </w:r>
            <w:r>
              <w:rPr/>
              <w:t xml:space="preserve"> 4.★嵌入式系统版本不低于Android 13.</w:t>
            </w:r>
            <w:r>
              <w:br/>
            </w:r>
            <w:r>
              <w:rPr/>
              <w:t xml:space="preserve"> 5.★采用红外触控，支持双系统中进行40点或以上触控</w:t>
            </w:r>
            <w:r>
              <w:br/>
            </w:r>
            <w:r>
              <w:rPr/>
              <w:t xml:space="preserve"> 6.整机内置2.2声道扬声器，位于设备上边框，顶置朝前发声，前朝向10W高音扬声器2个，上朝向20W中低音扬声器2个，额定总功率60W。</w:t>
            </w:r>
            <w:r>
              <w:br/>
            </w:r>
            <w:r>
              <w:rPr/>
              <w:t xml:space="preserve"> 7.整机内置非独立外扩展的8阵列麦克风，拾音角度≥180°。</w:t>
            </w:r>
            <w:r>
              <w:br/>
            </w:r>
            <w:r>
              <w:rPr/>
              <w:t xml:space="preserve"> 8.★支持标准、听力、观影和AI感知音效模式，AI感知音效模式可通过内置麦克风采集教室物理环境声音，自动生成符合当前教室物理环境的频段、音量、音效。</w:t>
            </w:r>
            <w:r>
              <w:br/>
            </w:r>
            <w:r>
              <w:rPr/>
              <w:t xml:space="preserve"> 9.整机可选择高级音效设置，支持在左右声道平衡显 示范围中进行更改；中低频段显示调节范围125Hz～1KHz,高频段显示调节范围2KHz~16KHz,分贝显示-12dB～12dB调节范围。</w:t>
            </w:r>
            <w:r>
              <w:br/>
            </w:r>
            <w:r>
              <w:rPr/>
              <w:t xml:space="preserve"> 10.★整机支持色彩空间可选，包含标准模式和sRGB模式，在sRGB模式下可做到高色准△E≤1</w:t>
            </w:r>
            <w:r>
              <w:br/>
            </w:r>
            <w:r>
              <w:rPr/>
              <w:t xml:space="preserve"> 11.★整机系统支持手势上滑调出人工智能画质调节模式，在安卓通道下可根据屏幕内容自动调节画质参数，对人物、建筑、夜景等元素可自动调整对比度、饱和度、锐利度、色调色相值、高光/阴影。</w:t>
            </w:r>
            <w:r>
              <w:br/>
            </w:r>
            <w:r>
              <w:rPr/>
              <w:t xml:space="preserve"> 12.支持自定义图像设置，可对对比度、屏幕色温、图像亮度、亮度范围、色彩空间调节设置。</w:t>
            </w:r>
            <w:r>
              <w:br/>
            </w:r>
            <w:r>
              <w:rPr/>
              <w:t xml:space="preserve"> 13.整机全通道支持纸质护眼模式，可实现画面纹理的实时调整；支持纸质纹理：牛皮纸、素描纸、宣纸、水彩纸、水纹纸；支持透明度调节；支持色温调节。</w:t>
            </w:r>
            <w:r>
              <w:br/>
            </w:r>
            <w:r>
              <w:rPr/>
              <w:t xml:space="preserve"> 14.整机具备至少6个前置按键，支持5个自定义前置按键，“设置”、“音量-”，“音量+”，“录屏”，“护眼”按键，可通过自定义设置实现前置面板功能按键一键启用任一全局小工具。</w:t>
            </w:r>
            <w:r>
              <w:br/>
            </w:r>
            <w:r>
              <w:rPr/>
              <w:t xml:space="preserve"> 15.★整机支持蓝牙Bluetooth 5.4标准，Wi-Fi制式支持IEEE 802.11 a/b/g/n/ac/ax；支持版本Wi-Fi6。</w:t>
            </w:r>
            <w:r>
              <w:br/>
            </w:r>
            <w:r>
              <w:rPr/>
              <w:t xml:space="preserve"> 16.★整机支持发出超声波信号，智能手机通过麦克风接收后，手机与整机无需在同一局域网内即可实现配对，一键投屏，用户无需手动输入投屏码或扫码获取投屏码；</w:t>
            </w:r>
            <w:r>
              <w:br/>
            </w:r>
            <w:r>
              <w:rPr/>
              <w:t xml:space="preserve"> 17.整机内置传屏接收模块，整机不需要连接任何附加设备，可实现外部电脑、手机设备的音视频信号实时传输到整机上；电脑传屏时，支持触摸回传，在屏幕上部显示传屏工具栏。</w:t>
            </w:r>
            <w:r>
              <w:br/>
            </w:r>
            <w:r>
              <w:rPr/>
              <w:t xml:space="preserve"> 18.整机Windows通道支持文件传输应用，支持通过扫码、wifi直联、超声三种方式与手机进行握手连接，实现文件传输功能，传输方式支持公网传输、局域网传输、WiFi 直连传输。</w:t>
            </w:r>
            <w:r>
              <w:br/>
            </w:r>
            <w:r>
              <w:rPr/>
              <w:t xml:space="preserve"> 19.★整机上边框内置非独立摄像头，包含非独立式智能拼接摄像头至少三个；整机摄像头支持环境色温判断，根据环境调节合适的显示图像效果；支持人脸识别、清点人数、随机抽人 识别所有学生，显示标记，然后随机抽选。</w:t>
            </w:r>
            <w:r>
              <w:br/>
            </w:r>
            <w:r>
              <w:rPr/>
              <w:t xml:space="preserve"> 20.整机支持通过扫描二维码加入班级，老师设置题型，学生回答后提交，教师查看正确率比例及详细讲解；支持随机抽选、实时弹幕；支持管理当前班级成员；支持导出学生报告。全通道下可支持通过自定义按键调出该功能。</w:t>
            </w:r>
            <w:r>
              <w:br/>
            </w:r>
            <w:r>
              <w:rPr/>
              <w:t xml:space="preserve"> 21.设备支持多人同时将手机文件传输到整机上；当手机端登录账号与整机一致时，接收文件不需要二次确认，当手机端登录账号与整机不一致时，且距离连接成功或上次传输超过3分钟，则接收文件需要二次确认。</w:t>
            </w:r>
            <w:r>
              <w:br/>
            </w:r>
            <w:r>
              <w:rPr/>
              <w:t xml:space="preserve"> 22.支持文件传输应用，接收的文件支持单份删除；接收的文件支持手动全部清空，为防止误清空，全部清空需要经过二次确认。</w:t>
            </w:r>
            <w:r>
              <w:br/>
            </w:r>
            <w:r>
              <w:rPr/>
              <w:t xml:space="preserve"> 23.整机系统支持书写触控延迟≤25ms，触摸响应时间≤4ms，触摸最小识别物≤3mm。</w:t>
            </w:r>
            <w:r>
              <w:br/>
            </w:r>
            <w:r>
              <w:rPr/>
              <w:t xml:space="preserve"> 24.整机支持提笔书写，在Windows系统下可实现无需点击任意功能入口，当检测到红外笔笔尖接触屏幕时，自动进入书写模式。</w:t>
            </w:r>
            <w:r>
              <w:br/>
            </w:r>
            <w:r>
              <w:rPr/>
              <w:t xml:space="preserve"> 25.整机全通道侧边栏快捷菜单小工具支持自定义，支持设置对应小工具的显示/隐藏；支持通过侧边栏实现调用windows系统运行、打开文件夹、打开任务管理；全通道侧边栏支持自定义快捷菜单，支持windows 应用固定，可将应用固定后，在侧边栏进行快捷打开。</w:t>
            </w:r>
            <w:r>
              <w:br/>
            </w:r>
            <w:r>
              <w:rPr/>
              <w:t xml:space="preserve"> 26.整机具备前置Type-C接口，通过Type-C接口实现音视频输入，外接电脑设备经双头Type-C线连接至整机，即可把外接电脑设备画面投到整机上，同时在整机上操作画面，可实现触摸电脑的操作，无需再连接触控USB线。</w:t>
            </w:r>
            <w:r>
              <w:br/>
            </w:r>
            <w:r>
              <w:rPr/>
              <w:t xml:space="preserve"> 27.整机关机状态下，通过长按电源键进入设置界面后，可点击屏幕选择恢复Android系统及Windows操作系统到出厂默认状态，无需额外工具辅助。</w:t>
            </w:r>
            <w:r>
              <w:br/>
            </w:r>
            <w:r>
              <w:rPr/>
              <w:t xml:space="preserve"> 28.整机内置专业硬件自检维护工具（非第三方工具），支持对整机内部的板卡及部件模块进行故障检测、系统还原功能。</w:t>
            </w:r>
            <w:r>
              <w:br/>
            </w:r>
            <w:r>
              <w:rPr/>
              <w:t xml:space="preserve"> 二、ops模块</w:t>
            </w:r>
            <w:r>
              <w:br/>
            </w:r>
            <w:r>
              <w:rPr/>
              <w:t xml:space="preserve"> 1.处理器：Intel Core i7 及以上。</w:t>
            </w:r>
            <w:r>
              <w:br/>
            </w:r>
            <w:r>
              <w:rPr/>
              <w:t xml:space="preserve"> 2.内存：8G DDR4 笔记本内存或以上配置。</w:t>
            </w:r>
            <w:r>
              <w:br/>
            </w:r>
            <w:r>
              <w:rPr/>
              <w:t xml:space="preserve"> 3.硬盘：256G SSD 或以上固态硬盘。</w:t>
            </w:r>
            <w:r>
              <w:br/>
            </w:r>
            <w:r>
              <w:rPr/>
              <w:t xml:space="preserve"> 4.具有独立非外扩展的电脑USB接口：≥3路USB。</w:t>
            </w:r>
            <w:r>
              <w:br/>
            </w:r>
            <w:r>
              <w:rPr/>
              <w:t xml:space="preserve"> 5.★采用抽拉内置式模块化电脑，按压式卡扣方式，无需工具即可快速拆卸电脑模块。</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t>教学白板软件：</w:t>
            </w:r>
          </w:p>
          <w:p>
            <w:pPr>
              <w:pStyle w:val="null3"/>
            </w:pPr>
            <w:r>
              <w:rPr/>
              <w:t>1.教学软件为全校教师提供可扩展，易于学校管理，安全可靠的云存储空间，根据每名教师使用时长与教学资料制作频率提供可扩展升级至不小于200G的个人云空间。</w:t>
            </w:r>
            <w:r>
              <w:br/>
            </w:r>
            <w:r>
              <w:rPr/>
              <w:t xml:space="preserve"> 2.★为便于学校听课评课，白板软件自带评课功能，在白板软件中，可直接打开评课，老师通过二维码扫描即可快速进行评课，评课后在学校平台可直接显示评课统计结果。</w:t>
            </w:r>
            <w:r>
              <w:br/>
            </w:r>
            <w:r>
              <w:rPr/>
              <w:t xml:space="preserve"> 3.互动教学课件支持分享至学校校本资源库，学段学科根据教师个人信息自动匹配，分享后课件全校教师可见，并可直接下载使用。校本资源库支持按学科、学段进行快速查找，同时支持关键词精准检索。</w:t>
            </w:r>
            <w:r>
              <w:br/>
            </w:r>
            <w:r>
              <w:rPr/>
              <w:t xml:space="preserve"> 4.提供至少30种应用于文本、形状、图片等课件元素的触发动画，可对动画的设置触发条件、动画声效、动画时长、动画延迟和动画方向进行自定义设置。</w:t>
            </w:r>
            <w:r>
              <w:br/>
            </w:r>
            <w:r>
              <w:rPr/>
              <w:t xml:space="preserve"> 5.内置不少于40种符合教学需要的课件背景供教师直接使用，且教师可自定义课件背景。</w:t>
            </w:r>
            <w:r>
              <w:br/>
            </w:r>
            <w:r>
              <w:rPr/>
              <w:t xml:space="preserve"> 6.支持课件内所有的元素对象创建超链接，可链接到对象所在课件的相关页面、网页、文档等。</w:t>
            </w:r>
            <w:r>
              <w:br/>
            </w:r>
            <w:r>
              <w:rPr/>
              <w:t xml:space="preserve"> 7.为方便老时间课件的传阅，软件需支持互动教学课件支持定向精准分享：分享者可将互动课件、课件组精准推送至指定接收方账号云空间，接收方可在云空间接收并打开分享课件。</w:t>
            </w:r>
            <w:r>
              <w:br/>
            </w:r>
            <w:r>
              <w:rPr/>
              <w:t xml:space="preserve"> 8. 积极响应名校网络课的政策需求，软件需带直播课堂功能，老师可在白板软件中提前创建直播课堂，并关联个人空间中的课件，生成听课码，学生可加入直播课堂，老师实时下发客观答题，学生实时互动答题，并进行课堂发言和同步板书书写。</w:t>
            </w:r>
            <w:r>
              <w:br/>
            </w:r>
            <w:r>
              <w:rPr/>
              <w:t xml:space="preserve"> 9.★AI智能纠错：软件内置的AI智能语义分析模块，可对输入的英文文本的拼写、句型、语法进行错误检查，并支持一键纠错。</w:t>
            </w:r>
            <w:r>
              <w:br/>
            </w:r>
            <w:r>
              <w:rPr/>
              <w:t xml:space="preserve"> 10.为了方便教学反思，支持在白板软件中一键对课堂进行内容实录并选择上传平台，可对实录内容进行语音识别，转化为文字。支持对实录的课件根据课件翻页时间自动切片打点，包括翻页、跳转至任意指定页、支持画笔、橡皮擦、撤销等工具的调用，互动教学游戏中所有元素都可二次拖动，方便对课件进行预览学习。</w:t>
            </w:r>
            <w:r>
              <w:br/>
            </w:r>
            <w:r>
              <w:rPr/>
              <w:t xml:space="preserve"> 11.为方便老师利用软件互动功能在原有PPT基础上修改课件，需支持用户在软件中打开pptx格式文件，且用户可在软件中自由编辑原文件中的图片、文字、表格等元素，并支持修改原文件中的动画。</w:t>
            </w:r>
            <w:r>
              <w:br/>
            </w:r>
            <w:r>
              <w:rPr/>
              <w:t xml:space="preserve"> 12.出于方便教师快速定位讲解关键教学内容，软件需支持对音频、视频文件进行关键帧标记，可在音、视频进度条任意位置自由设置关键帧播放节点。</w:t>
            </w:r>
            <w:r>
              <w:br/>
            </w:r>
            <w:r>
              <w:rPr/>
              <w:t xml:space="preserve"> 13.为方便老师快速处理图片素材，需支持快捷抠图，无需借助专业图片处理软件，即可在白板软件中对导入的图片进行快捷抠图、去背景，处理后的图片主体边缘没有明显毛边，可导出保存成PNG格式。</w:t>
            </w:r>
            <w:r>
              <w:br/>
            </w:r>
            <w:r>
              <w:rPr/>
              <w:t xml:space="preserve"> 14.为更好的提升课堂互动性做到寓教于乐，软件需支持创建判断题竞赛游戏，教师可设置正确项／干扰项，让两组学生进行判断对错游戏竞争。提供简单、中等、困难难度及多种预设游戏背景模版，模版样式支持自定义修改。</w:t>
            </w:r>
            <w:r>
              <w:br/>
            </w:r>
            <w:r>
              <w:rPr/>
              <w:t xml:space="preserve"> 15.基于教师知识点梳理需要，软件需可对教学知识点以思维导图形式展现，可增删或拖拽编辑内容节点，并支持在节点上插入图片、音频、视频、网页链接、课件页面链接。支持思维导图逐级、逐个节点展开，并可任意缩放，满足不同演示需求。</w:t>
            </w:r>
          </w:p>
        </w:tc>
      </w:tr>
      <w:tr>
        <w:tc>
          <w:tcPr>
            <w:tcW w:type="dxa" w:w="2769"/>
          </w:tcPr>
          <w:p>
            <w:pPr>
              <w:pStyle w:val="null3"/>
            </w:pPr>
            <w:r>
              <w:rPr/>
              <w:t>★</w:t>
            </w:r>
          </w:p>
        </w:tc>
        <w:tc>
          <w:tcPr>
            <w:tcW w:type="dxa" w:w="2769"/>
          </w:tcPr>
          <w:p>
            <w:pPr>
              <w:pStyle w:val="null3"/>
            </w:pPr>
            <w:r>
              <w:rPr/>
              <w:t>3</w:t>
            </w:r>
          </w:p>
        </w:tc>
        <w:tc>
          <w:tcPr>
            <w:tcW w:type="dxa" w:w="2769"/>
          </w:tcPr>
          <w:p>
            <w:pPr>
              <w:pStyle w:val="null3"/>
            </w:pPr>
            <w:r>
              <w:rPr/>
              <w:t>教学数据分析系统:</w:t>
            </w:r>
          </w:p>
          <w:p>
            <w:pPr>
              <w:pStyle w:val="null3"/>
            </w:pPr>
            <w:r>
              <w:rPr/>
              <w:t>1.产品采用Saas的服务模式，后台应用B/S架构设计，支持学校管理者在Windows、Linux、Android、iOS等多种不同的操作系统上通过网页浏览器登陆进行操作，可统计全校教师软件活跃数据、点评数据及课件上传等数据。</w:t>
            </w:r>
            <w:r>
              <w:br/>
            </w:r>
            <w:r>
              <w:rPr/>
              <w:t xml:space="preserve"> 2.支持管理员及教师使用网页端和小程序端登录。通过教研数字化管理平台公众号可进入小程序端，支持查看数据信息和教师榜单等，并定期推送数据分析报表。</w:t>
            </w:r>
            <w:r>
              <w:br/>
            </w:r>
            <w:r>
              <w:rPr/>
              <w:t xml:space="preserve"> 3.管理者通过学校数据可视化看板，查看学校云课件教案数、累计校本研修次数等情况，掌握学校教研关键数据（云课件和教案数量，校本课件、校本教案的数据），了解关键数据环比上周的的具体情况。</w:t>
            </w:r>
            <w:r>
              <w:br/>
            </w:r>
            <w:r>
              <w:rPr/>
              <w:t xml:space="preserve"> 4.展示本校教师产生的云课件、云教案数量，及校本资源库建设情况。通过榜单直观呈现教师产出的课件/教案被获取数，教师评价有根源。</w:t>
            </w:r>
            <w:r>
              <w:br/>
            </w:r>
            <w:r>
              <w:rPr/>
              <w:t xml:space="preserve"> 5.支持管理者按照学段-学科-年级创建教师的教研组织结构，对教师做分组管理。支持设置教研组组长，并在教研组下设置多个备课组，添加对应的备课组成员，支持对教研组/备课组进行重命名和解散等操作。</w:t>
            </w:r>
            <w:r>
              <w:br/>
            </w:r>
            <w:r>
              <w:rPr/>
              <w:t xml:space="preserve"> 6.★具备教师GPS定位打卡考勤功能。学校管理员可设置考勤时间、考勤范围，还可以查看和导出考勤数据报表。教师可在“教研数字化管理平台”微信公众号进行GPS考勤，到达学校范围后即激活打卡，支持上班、下班、迟到、早退、缺勤等多种打卡状态。</w:t>
            </w:r>
            <w:r>
              <w:br/>
            </w:r>
            <w:r>
              <w:rPr/>
              <w:t xml:space="preserve"> 7.★全校集体备课数据统一汇总，支持按照集体备课记录和教师集备记录两个维度查看集备数据。集体备课记录数据包含集备名称、主备人、学科、年级、章节、稿数、参备老师、评论数、批注数等数据，了解集体备课活动的开展和参与情况。</w:t>
            </w:r>
            <w:r>
              <w:br/>
            </w:r>
            <w:r>
              <w:rPr/>
              <w:t xml:space="preserve"> 8.全校听评课数据统一汇总，数据包含全校本月评课节数，本月评课次数，累计评课节数和累计评课次数，了解听评课教研活动的开展情况。</w:t>
            </w:r>
            <w:r>
              <w:br/>
            </w:r>
            <w:r>
              <w:rPr/>
              <w:t xml:space="preserve"> 9.评课报告和老师评课明细导出：支持导出课程的评课报告为PDF文件，支持批量导出课程下所有老师的评课表为Word文件。</w:t>
            </w:r>
            <w:r>
              <w:br/>
            </w:r>
            <w:r>
              <w:rPr/>
              <w:t xml:space="preserve"> 10.支持查看不同时间段班级氛围数据的概况，数据包含全校课堂点评情况、班级总分榜、班级分数榜、教师榜（老师发送点评的总分）和累计分数前三名班级，了解全校班级管理情况。</w:t>
            </w:r>
            <w:r>
              <w:br/>
            </w:r>
            <w:r>
              <w:rPr/>
              <w:t xml:space="preserve"> 11.教师可以查看个人的听评课数据，包括个人平均分、累计听课节数、累计评课节数，同时可以分析评价维度的得分情况以及个人薄弱项。</w:t>
            </w:r>
            <w:r>
              <w:br/>
            </w:r>
            <w:r>
              <w:rPr/>
              <w:t xml:space="preserve"> 12.支持在个人空间查看录制的全部知识胶囊，单个胶囊显示名称、分享人、时长、页数、以及修改时间等数据。支持根据胶囊修改时间，进行排序。</w:t>
            </w:r>
            <w:r>
              <w:br/>
            </w:r>
            <w:r>
              <w:rPr/>
              <w:t xml:space="preserve"> 13.支持查看不同时间段班级氛围数据的概况，数据包含全校课堂点评情况、班级总分榜、班级分数榜、教师榜（老师发送点评的总分）和累计分数前三名班级，了解全校班级管理情况。</w:t>
            </w:r>
            <w:r>
              <w:br/>
            </w:r>
            <w:r>
              <w:rPr/>
              <w:t xml:space="preserve"> 14.以不同学科不同年级教研组为单位，可以在系统中录入教研组教学计划，计划可以和教案的课时数相关联，教研组可管理教学进度。</w:t>
            </w:r>
            <w:r>
              <w:br/>
            </w:r>
            <w:r>
              <w:rPr/>
              <w:t xml:space="preserve"> 15.管理员可根据组织架构信息，自由选定教师发送学校通知。发送后，管理员可登录教研数字化管理平台后台实时查阅教师已读、未读情况。通知的发送、接收都可在“教研数字化管理平台”微信公众号中完成，随时随地进行通知的查阅和管理。</w:t>
            </w:r>
          </w:p>
        </w:tc>
      </w:tr>
    </w:tbl>
    <w:p>
      <w:pPr>
        <w:pStyle w:val="null3"/>
      </w:pPr>
      <w:r>
        <w:rPr/>
        <w:t>标的名称：视频展台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1.整机采用圆弧式设计，同时托板采用磁吸吸附式机构，防止托板打落，方便打开及固定，避免机械式锁具故障率高的问题。</w:t>
            </w:r>
            <w:r>
              <w:br/>
            </w:r>
            <w:r>
              <w:rPr/>
              <w:t xml:space="preserve"> 2.采用≥800万像素摄像头，采用USB五伏电源直接供电，无需额外配置电源适配器，环保无辐射。</w:t>
            </w:r>
            <w:r>
              <w:br/>
            </w:r>
            <w:r>
              <w:rPr/>
              <w:t xml:space="preserve"> 3.A4大小拍摄幅面，1080P动态视频预览不低于30帧/秒。</w:t>
            </w:r>
            <w:r>
              <w:br/>
            </w:r>
            <w:r>
              <w:rPr/>
              <w:t xml:space="preserve"> 4.支持对展台画面进行放大、缩小、旋转、自适应、冻结画面等操作。</w:t>
            </w:r>
            <w:r>
              <w:br/>
            </w:r>
            <w:r>
              <w:rPr/>
              <w:t xml:space="preserve"> 5.支持展台画面实时批注，预设多种笔划粗细及颜色供选择，且支持对展台画面联同批注内容进行同步缩放、移动。</w:t>
            </w:r>
            <w:r>
              <w:br/>
            </w:r>
            <w:r>
              <w:rPr/>
              <w:t xml:space="preserve"> 6.支持将书本上的二维码放入扫描框内即可自动扫描，并进入系统浏览器获取二维码的链接内容，帮助老师快速获取电子教学资源。</w:t>
            </w:r>
            <w:r>
              <w:br/>
            </w:r>
            <w:r>
              <w:rPr/>
              <w:t xml:space="preserve"> 7.外壳在摄像头部分带保护镜片密封，防止灰尘沾染摄像头，防护等级达到IP4X级别。</w:t>
            </w:r>
            <w:r>
              <w:br/>
            </w:r>
            <w:r>
              <w:rPr/>
              <w:t xml:space="preserve"> 8.支持故障自动检测，在调用展台却无法出现镜头采集画面信号时，可自动出现检测链接，并给出导致性原因。</w:t>
            </w:r>
          </w:p>
        </w:tc>
      </w:tr>
    </w:tbl>
    <w:p>
      <w:pPr>
        <w:pStyle w:val="null3"/>
      </w:pPr>
      <w:r>
        <w:rPr/>
        <w:t>标的名称：笔记本电脑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处理器:采用国产兆芯处理器，核心数≥4核，主频≥3.0GHz。</w:t>
            </w:r>
            <w:r>
              <w:br/>
            </w:r>
            <w:r>
              <w:rPr/>
              <w:t xml:space="preserve"> 内存:容量≥8GB，DDR4，内存插槽≥2个，最高可支持内存≥32GB 。</w:t>
            </w:r>
            <w:r>
              <w:br/>
            </w:r>
            <w:r>
              <w:rPr/>
              <w:t xml:space="preserve"> 显卡:集成显卡</w:t>
            </w:r>
            <w:r>
              <w:br/>
            </w:r>
            <w:r>
              <w:rPr/>
              <w:t xml:space="preserve"> 硬盘:配置≥512GB M.2 NVMe SSD硬盘，支持容量扩展。</w:t>
            </w:r>
            <w:r>
              <w:br/>
            </w:r>
            <w:r>
              <w:rPr/>
              <w:t xml:space="preserve"> 接口:USB3.0接口≥2个，USB-C接口≥2个，标准RJ45网口≥1个，HDMI接口≥1个</w:t>
            </w:r>
            <w:r>
              <w:br/>
            </w:r>
            <w:r>
              <w:rPr/>
              <w:t xml:space="preserve"> 屏幕:≤14英寸, 分辨率1920*1080，支持≥180°开合。</w:t>
            </w:r>
            <w:r>
              <w:br/>
            </w:r>
            <w:r>
              <w:rPr/>
              <w:t xml:space="preserve"> 电池:电池容量≥60WH，适配器功率≥65W，适配器输出接口形态Type-C。</w:t>
            </w:r>
            <w:r>
              <w:br/>
            </w:r>
            <w:r>
              <w:rPr/>
              <w:t xml:space="preserve"> 无线网络:支持WiFi 6 并向下兼容， 支持蓝牙5.0及以上。</w:t>
            </w:r>
            <w:r>
              <w:br/>
            </w:r>
            <w:r>
              <w:rPr/>
              <w:t xml:space="preserve"> 摄像头:720P分辨率，具备物理滑盖，可物理遮挡保护隐私。</w:t>
            </w:r>
            <w:r>
              <w:br/>
            </w:r>
            <w:r>
              <w:rPr/>
              <w:t xml:space="preserve"> 操作系统:支持银河麒麟、统信UOS等国产操作系统</w:t>
            </w:r>
            <w:r>
              <w:br/>
            </w:r>
            <w:r>
              <w:rPr/>
              <w:t xml:space="preserve">  </w:t>
            </w:r>
          </w:p>
        </w:tc>
      </w:tr>
    </w:tbl>
    <w:p>
      <w:pPr>
        <w:pStyle w:val="null3"/>
      </w:pPr>
      <w:r>
        <w:rPr/>
        <w:t>标的名称：系统办公软件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麒麟系统、360杀毒、WPS（1年版厂家技术服务、注册后终身使用）</w:t>
            </w:r>
          </w:p>
        </w:tc>
      </w:tr>
    </w:tbl>
    <w:p>
      <w:pPr>
        <w:pStyle w:val="null3"/>
      </w:pPr>
      <w:r>
        <w:rPr/>
        <w:t>标的名称：台式电脑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国产自主品牌，在最新一期信创产品</w:t>
            </w:r>
            <w:r>
              <w:br/>
            </w:r>
            <w:r>
              <w:rPr/>
              <w:t xml:space="preserve"> 处理器：国产兆芯（ZX-E）KX-U6780A处理器，核数≥8核，主频≥2.7GHz,TDP功耗≤70W。</w:t>
            </w:r>
            <w:r>
              <w:br/>
            </w:r>
            <w:r>
              <w:rPr/>
              <w:t xml:space="preserve"> 内存：配置≥8GB DDR4内存，配置≥2个内存插槽，支持内存扩展</w:t>
            </w:r>
            <w:r>
              <w:br/>
            </w:r>
            <w:r>
              <w:rPr/>
              <w:t xml:space="preserve"> 显卡：集成显卡；</w:t>
            </w:r>
            <w:r>
              <w:br/>
            </w:r>
            <w:r>
              <w:rPr/>
              <w:t xml:space="preserve"> 硬盘：≥512GB M.2接口NVME协议SSD，最高可支持1TB SSD，最大支持2块3.5英寸机械硬盘扩展；</w:t>
            </w:r>
            <w:r>
              <w:br/>
            </w:r>
            <w:r>
              <w:rPr/>
              <w:t xml:space="preserve"> 电源：电源功率≥180W，电源通过80PLUS认证；要求提供计算机生产厂家的规格说明文件。</w:t>
            </w:r>
            <w:r>
              <w:br/>
            </w:r>
            <w:r>
              <w:rPr/>
              <w:t xml:space="preserve"> 操作系统：支持银河麒麟、统信UOS等国产操作系统</w:t>
            </w:r>
            <w:r>
              <w:br/>
            </w:r>
            <w:r>
              <w:rPr/>
              <w:t xml:space="preserve"> 显示器：配置≥21.5寸LED显示器</w:t>
            </w:r>
          </w:p>
        </w:tc>
      </w:tr>
    </w:tbl>
    <w:p>
      <w:pPr>
        <w:pStyle w:val="null3"/>
      </w:pPr>
      <w:r>
        <w:rPr/>
        <w:t>标的名称：教室护眼灯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1、LED教室灯额定功率≤38W。</w:t>
            </w:r>
            <w:r>
              <w:br/>
            </w:r>
            <w:r>
              <w:rPr/>
              <w:t xml:space="preserve"> 2、LED教室灯长度≥1000mm；为一体式微晶防眩面板灯，灯具外形应平整、无凹陷和毛刺，焊缝无透光现象，表面均匀、光洁，无流挂现象。</w:t>
            </w:r>
            <w:r>
              <w:br/>
            </w:r>
            <w:r>
              <w:rPr/>
              <w:t xml:space="preserve"> 3、LED教室灯色温（或相关色温）在正常燃点30000小时或以上时间后与初始测试（0小时）均满足3300-5300K,且色温变化（绝对值）＜100K。</w:t>
            </w:r>
            <w:r>
              <w:br/>
            </w:r>
            <w:r>
              <w:rPr/>
              <w:t xml:space="preserve"> 4、LED教室灯显色指数在正常燃点30000小时或以上时间后与初始测试（0小时）均满足Ra≥90、R9≥50。</w:t>
            </w:r>
            <w:r>
              <w:br/>
            </w:r>
            <w:r>
              <w:rPr/>
              <w:t xml:space="preserve"> 5、LED教室灯色容差（或色品容差）正常燃点30000小时或以上时间后与初始测试（0小时）均满足≤5 SDCM。</w:t>
            </w:r>
            <w:r>
              <w:br/>
            </w:r>
            <w:r>
              <w:rPr/>
              <w:t xml:space="preserve"> 6、LED教室灯正常燃点30000小时或以上的光通维持率≥93%。</w:t>
            </w:r>
            <w:r>
              <w:br/>
            </w:r>
            <w:r>
              <w:rPr/>
              <w:t xml:space="preserve"> 7、为保证教室整体照明质量，要求LED教室灯具备上、下出光功能，正常燃点30000小时或以上时间后与初始测试（0小时）时均均有上、下光通量。</w:t>
            </w:r>
            <w:r>
              <w:br/>
            </w:r>
            <w:r>
              <w:rPr/>
              <w:t xml:space="preserve"> 8、LED 教室灯在C平面光度学坐标系统中γ角65°、75°、85°的平均亮度均≤3000cd/㎡，在C=0°和180°光度学坐标系统中γ角60°，在C=90°和270°光度学坐标系统中γ角60°的平均亮度均≤3000cd/㎡</w:t>
            </w:r>
            <w:r>
              <w:br/>
            </w:r>
            <w:r>
              <w:rPr/>
              <w:t xml:space="preserve"> 9、LED教室灯具备抗UV特性，通过72小时UV老化测试，仍保持完整、不粉化、不起泡、不生锈、不开裂。</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自合同签订生效之日起15个日历天完成供货、安装、调试。</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 xml:space="preserve">签订合同后 </w:t>
      </w:r>
      <w:r>
        <w:rPr/>
        <w:t xml:space="preserve"> ，达到付款条件起 </w:t>
      </w:r>
      <w:r>
        <w:rPr/>
        <w:t>7</w:t>
      </w:r>
      <w:r>
        <w:rPr/>
        <w:t xml:space="preserve"> 日内，支付合同总金额的 </w:t>
      </w:r>
      <w:r>
        <w:rPr/>
        <w:t>40.00</w:t>
      </w:r>
      <w:r>
        <w:rPr/>
        <w:t>%。</w:t>
      </w:r>
    </w:p>
    <w:p>
      <w:pPr>
        <w:pStyle w:val="null3"/>
      </w:pPr>
      <w:r>
        <w:rPr/>
        <w:t>采购包1：</w:t>
      </w:r>
      <w:r>
        <w:rPr/>
        <w:t xml:space="preserve"> 付款条件说明： </w:t>
      </w:r>
      <w:r>
        <w:rPr/>
        <w:t>项目验收合格后</w:t>
      </w:r>
      <w:r>
        <w:rPr/>
        <w:t xml:space="preserve"> ，达到付款条件起 </w:t>
      </w:r>
      <w:r>
        <w:rPr/>
        <w:t>7</w:t>
      </w:r>
      <w:r>
        <w:rPr/>
        <w:t xml:space="preserve"> 日内，支付合同总金额的 </w:t>
      </w:r>
      <w:r>
        <w:rPr/>
        <w:t>60.00</w:t>
      </w:r>
      <w:r>
        <w:rPr/>
        <w:t>%。</w:t>
      </w:r>
    </w:p>
    <w:p>
      <w:pPr>
        <w:pStyle w:val="null3"/>
        <w:outlineLvl w:val="3"/>
      </w:pPr>
      <w:r>
        <w:rPr>
          <w:sz w:val="24"/>
          <w:b/>
        </w:rPr>
        <w:t>3.4.5验收标准和方法</w:t>
      </w:r>
    </w:p>
    <w:p>
      <w:pPr>
        <w:pStyle w:val="null3"/>
      </w:pPr>
      <w:r>
        <w:rPr/>
        <w:t>采购包1：</w:t>
      </w:r>
    </w:p>
    <w:p>
      <w:pPr>
        <w:pStyle w:val="null3"/>
      </w:pPr>
      <w:r>
        <w:rPr/>
        <w:t>1、项目验收分初验和终验: 初验：货物到达交货地点后，由使用单位根据合同对货物（设备）的名称、品牌、规格、型号、产地、数量进行检查。 终验：所有货物(设备)调试完毕，正常使用10个日历日后，由招标人进行终验（最终验收），合格后签发《终验合格单》。 2、验收不合格的中标单位，必须在接到通知后7个日历日内确保货物通过验收。如接到通知后7个日历日内验收仍不合格，招标人可提出索赔或取消其供货合同。招标代理机构将把中标资格授予评审排序下一名的中标单位。 3、验收依据：（1）合同及合同补充文件（条款）；（2）货物的合法来源渠道证明文件、响应功能证明材料；（3）招标文件；（4）中标/成交人的投标/响应文件；（5）货物清单;（6）生产厂家的企业资质、货物的执行标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1、质保期一年。参数中有具体要求的，按参数要求提供质保。中标人承诺的质保时间超过招标文件要求的，按其承诺时间质保。 2、中标人承诺的质保期起始时间为终验合格之日。 3、所有货物质量必须符合国家有关规范和相关政策。所有设备及辅材必须是未使用的，质量优良、渠道正当，配置合理。 4、质保期出现的质量问题由中标人负责解决并承担所有费用。质保期后如需更换零部件，中标人应以优惠价提供。</w:t>
      </w:r>
    </w:p>
    <w:p>
      <w:pPr>
        <w:pStyle w:val="null3"/>
        <w:outlineLvl w:val="3"/>
      </w:pPr>
      <w:r>
        <w:rPr>
          <w:sz w:val="24"/>
          <w:b/>
        </w:rPr>
        <w:t>3.4.8违约责任与解决争议的方法</w:t>
      </w:r>
    </w:p>
    <w:p>
      <w:pPr>
        <w:pStyle w:val="null3"/>
      </w:pPr>
      <w:r>
        <w:rPr/>
        <w:t>采购包1：</w:t>
      </w:r>
    </w:p>
    <w:p>
      <w:pPr>
        <w:pStyle w:val="null3"/>
      </w:pPr>
      <w:r>
        <w:rPr/>
        <w:t>1、按《中华人民共和国民法典》中的相关条款执行。 2、未按要求提供产品质量不能满足技术要求，采购人有权终止合同，并对供方违约行为进行追究，同时按《中华人民共和国政府采购法》的有关规定进行处罚。</w:t>
      </w:r>
    </w:p>
    <w:p>
      <w:pPr>
        <w:pStyle w:val="null3"/>
        <w:jc w:val="left"/>
        <w:outlineLvl w:val="2"/>
      </w:pPr>
      <w:r>
        <w:rPr>
          <w:sz w:val="28"/>
          <w:b/>
        </w:rPr>
        <w:t>3.5其他要求</w:t>
      </w:r>
    </w:p>
    <w:p>
      <w:pPr>
        <w:pStyle w:val="null3"/>
      </w:pPr>
      <w:r>
        <w:rPr/>
        <w:t>考核（验收）标准和方法、支付方式、支付约定、违约责任及解决争议的方法等商务要求可根据项目实际进展情况经采购人同意另做调整。</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或2023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提交投标文件截止时间前一年内至少一个月的纳税证明或完税证明，纳税证明或完税证明上应有代收机构或税务机关的公章或业务专用章，依法免税的投标人应提供相应文件证明。</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提交投标文件截止时间前一年内已缴存的至少一个月的社会保障资金缴存单据或社保机构开具的社会保险参保缴费情况证明，依法不需要缴纳社会保障资金的单位应提供相关证明材料。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信用查询</w:t>
            </w:r>
          </w:p>
        </w:tc>
        <w:tc>
          <w:tcPr>
            <w:tcW w:type="dxa" w:w="3322"/>
          </w:tcPr>
          <w:p>
            <w:pPr>
              <w:pStyle w:val="null3"/>
            </w:pPr>
            <w:r>
              <w:rPr/>
              <w:t>投标人不得在“中国执行信息公开网（http://zxgk.court.gov.cn/）”网站被列为失信被执行人；不得在“信用中国”（www.creditchina.gov.cn）网站被列入严重失信主体名单和重大税收违法失信主体；不得在“中国政府采购 网”（www.ccgp.gov.cn）网站被列入政府采购严重违法失信行为记录名单。</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履约能力</w:t>
            </w:r>
          </w:p>
        </w:tc>
        <w:tc>
          <w:tcPr>
            <w:tcW w:type="dxa" w:w="3322"/>
          </w:tcPr>
          <w:p>
            <w:pPr>
              <w:pStyle w:val="null3"/>
            </w:pPr>
            <w:r>
              <w:rPr/>
              <w:t>投标人具备履行合同所必需的设备和专业技术能力（提供承诺书）。</w:t>
            </w:r>
          </w:p>
        </w:tc>
        <w:tc>
          <w:tcPr>
            <w:tcW w:type="dxa" w:w="1661"/>
          </w:tcPr>
          <w:p>
            <w:pPr>
              <w:pStyle w:val="null3"/>
            </w:pPr>
            <w:r>
              <w:rPr/>
              <w:t>投标人应提交的相关资格证明材料</w:t>
            </w:r>
          </w:p>
        </w:tc>
      </w:tr>
      <w:tr>
        <w:tc>
          <w:tcPr>
            <w:tcW w:type="dxa" w:w="831"/>
          </w:tcPr>
          <w:p>
            <w:pPr>
              <w:pStyle w:val="null3"/>
            </w:pPr>
            <w:r>
              <w:rPr/>
              <w:t>7</w:t>
            </w:r>
          </w:p>
        </w:tc>
        <w:tc>
          <w:tcPr>
            <w:tcW w:type="dxa" w:w="2492"/>
          </w:tcPr>
          <w:p>
            <w:pPr>
              <w:pStyle w:val="null3"/>
            </w:pPr>
            <w:r>
              <w:rPr/>
              <w:t>无重大违法记录</w:t>
            </w:r>
          </w:p>
        </w:tc>
        <w:tc>
          <w:tcPr>
            <w:tcW w:type="dxa" w:w="3322"/>
          </w:tcPr>
          <w:p>
            <w:pPr>
              <w:pStyle w:val="null3"/>
            </w:pPr>
            <w:r>
              <w:rPr/>
              <w:t>参加政府采购活动前3年内，在经营活动中没有重大违法记录（提供书面声明函）。</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控股管理关系</w:t>
            </w:r>
          </w:p>
        </w:tc>
        <w:tc>
          <w:tcPr>
            <w:tcW w:type="dxa" w:w="3322"/>
          </w:tcPr>
          <w:p>
            <w:pPr>
              <w:pStyle w:val="null3"/>
            </w:pPr>
            <w:r>
              <w:rPr/>
              <w:t>提供直接控股和管理关系清单。若与其他供应商存在单位负责人为同一人或者存在直接控股、管理关系的，则投标无效。</w:t>
            </w:r>
          </w:p>
        </w:tc>
        <w:tc>
          <w:tcPr>
            <w:tcW w:type="dxa" w:w="1661"/>
          </w:tcPr>
          <w:p>
            <w:pPr>
              <w:pStyle w:val="null3"/>
            </w:pPr>
            <w:r>
              <w:rPr/>
              <w:t>投标人应提交的相关资格证明材料</w:t>
            </w:r>
          </w:p>
        </w:tc>
      </w:tr>
      <w:tr>
        <w:tc>
          <w:tcPr>
            <w:tcW w:type="dxa" w:w="831"/>
          </w:tcPr>
          <w:p>
            <w:pPr>
              <w:pStyle w:val="null3"/>
            </w:pPr>
            <w:r>
              <w:rPr/>
              <w:t>9</w:t>
            </w:r>
          </w:p>
        </w:tc>
        <w:tc>
          <w:tcPr>
            <w:tcW w:type="dxa" w:w="2492"/>
          </w:tcPr>
          <w:p>
            <w:pPr>
              <w:pStyle w:val="null3"/>
            </w:pPr>
            <w:r>
              <w:rPr/>
              <w:t>法定代表人身份证明或法定代表人授权委托书</w:t>
            </w:r>
          </w:p>
        </w:tc>
        <w:tc>
          <w:tcPr>
            <w:tcW w:type="dxa" w:w="3322"/>
          </w:tcPr>
          <w:p>
            <w:pPr>
              <w:pStyle w:val="null3"/>
            </w:pPr>
            <w:r>
              <w:rPr/>
              <w:t>法定代表人直接参加投标的，须出具法定代表人身份证明及身份证原件；法定代表人授权代表参加投标的，须出具法定代表人授权书及授权代表身份证原件。投标文件中凡是需要法定代表人盖章之处，非法人单位的负责人均参照执行。</w:t>
            </w:r>
          </w:p>
        </w:tc>
        <w:tc>
          <w:tcPr>
            <w:tcW w:type="dxa" w:w="1661"/>
          </w:tcPr>
          <w:p>
            <w:pPr>
              <w:pStyle w:val="null3"/>
            </w:pPr>
            <w:r>
              <w:rPr/>
              <w:t>投标人应提交的相关资格证明材料</w:t>
            </w:r>
          </w:p>
        </w:tc>
      </w:tr>
      <w:tr>
        <w:tc>
          <w:tcPr>
            <w:tcW w:type="dxa" w:w="831"/>
          </w:tcPr>
          <w:p>
            <w:pPr>
              <w:pStyle w:val="null3"/>
            </w:pPr>
            <w:r>
              <w:rPr/>
              <w:t>10</w:t>
            </w:r>
          </w:p>
        </w:tc>
        <w:tc>
          <w:tcPr>
            <w:tcW w:type="dxa" w:w="2492"/>
          </w:tcPr>
          <w:p>
            <w:pPr>
              <w:pStyle w:val="null3"/>
            </w:pPr>
            <w:r>
              <w:rPr/>
              <w:t>联合体情况</w:t>
            </w:r>
          </w:p>
        </w:tc>
        <w:tc>
          <w:tcPr>
            <w:tcW w:type="dxa" w:w="3322"/>
          </w:tcPr>
          <w:p>
            <w:pPr>
              <w:pStyle w:val="null3"/>
            </w:pPr>
            <w:r>
              <w:rPr/>
              <w:t>本项目不接受联合体投标（提供承诺书）。</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有效性审查</w:t>
            </w:r>
          </w:p>
        </w:tc>
        <w:tc>
          <w:tcPr>
            <w:tcW w:type="dxa" w:w="3322"/>
          </w:tcPr>
          <w:p>
            <w:pPr>
              <w:pStyle w:val="null3"/>
            </w:pPr>
            <w:r>
              <w:rPr/>
              <w:t>（1）投标文件的签字、盖章：投标文件上法定代表人或其委托代理人的签字齐全并加盖单位章；投标文件应逐页加盖单位公章，且公章清晰可见；（2）投标文件格式：应符合招标文件要求；（3）报价唯一：只能有一个有效报价，不得提交选择性报价，且报价不超过采购预算。</w:t>
            </w:r>
          </w:p>
        </w:tc>
        <w:tc>
          <w:tcPr>
            <w:tcW w:type="dxa" w:w="1661"/>
          </w:tcPr>
          <w:p>
            <w:pPr>
              <w:pStyle w:val="null3"/>
            </w:pPr>
            <w:r>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t>3</w:t>
            </w:r>
          </w:p>
        </w:tc>
        <w:tc>
          <w:tcPr>
            <w:tcW w:type="dxa" w:w="2492"/>
          </w:tcPr>
          <w:p>
            <w:pPr>
              <w:pStyle w:val="null3"/>
            </w:pPr>
            <w:r>
              <w:rPr/>
              <w:t>完整性审查</w:t>
            </w:r>
          </w:p>
        </w:tc>
        <w:tc>
          <w:tcPr>
            <w:tcW w:type="dxa" w:w="3322"/>
          </w:tcPr>
          <w:p>
            <w:pPr>
              <w:pStyle w:val="null3"/>
            </w:pPr>
            <w:r>
              <w:rPr/>
              <w:t>投标文件内容齐全、无遗漏。</w:t>
            </w:r>
          </w:p>
        </w:tc>
        <w:tc>
          <w:tcPr>
            <w:tcW w:type="dxa" w:w="1661"/>
          </w:tcPr>
          <w:p>
            <w:pPr>
              <w:pStyle w:val="null3"/>
            </w:pPr>
            <w:r>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t>4</w:t>
            </w:r>
          </w:p>
        </w:tc>
        <w:tc>
          <w:tcPr>
            <w:tcW w:type="dxa" w:w="2492"/>
          </w:tcPr>
          <w:p>
            <w:pPr>
              <w:pStyle w:val="null3"/>
            </w:pPr>
            <w:r>
              <w:rPr/>
              <w:t>响应性审查</w:t>
            </w:r>
          </w:p>
        </w:tc>
        <w:tc>
          <w:tcPr>
            <w:tcW w:type="dxa" w:w="3322"/>
          </w:tcPr>
          <w:p>
            <w:pPr>
              <w:pStyle w:val="null3"/>
            </w:pPr>
            <w:r>
              <w:rPr/>
              <w:t>（1）对招标文件响应程度：要求全面响应，不能有任何采购人不能接受的附加条件；（2）拟提供服务响应程度：应满足招标文件提出的技术和服务要求；（3）交货期：自合同签订生效之日起15个日历天完成供货、安装、调试；（4 ）交货地点：采购人指定地点；（5）投标有效期：应满足招标文件中的规定。</w:t>
            </w:r>
          </w:p>
        </w:tc>
        <w:tc>
          <w:tcPr>
            <w:tcW w:type="dxa" w:w="1661"/>
          </w:tcPr>
          <w:p>
            <w:pPr>
              <w:pStyle w:val="null3"/>
            </w:pPr>
            <w:r>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供货方案</w:t>
            </w:r>
          </w:p>
        </w:tc>
        <w:tc>
          <w:tcPr>
            <w:tcW w:type="dxa" w:w="2492"/>
          </w:tcPr>
          <w:p>
            <w:pPr>
              <w:pStyle w:val="null3"/>
            </w:pPr>
            <w:r>
              <w:rPr/>
              <w:t>项目供货方案包含：①人员配置方案；②项目进度安排；③安装调试措施；④验收标准和方法；⑤组织协调措施；⑥应急处置措施。 以上内容应明确、详实全面、针对性强、便于实施，每提供一项得（0-2.5）分，满分15分。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技术指标及配置</w:t>
            </w:r>
          </w:p>
        </w:tc>
        <w:tc>
          <w:tcPr>
            <w:tcW w:type="dxa" w:w="2492"/>
          </w:tcPr>
          <w:p>
            <w:pPr>
              <w:pStyle w:val="null3"/>
            </w:pPr>
            <w:r>
              <w:rPr/>
              <w:t>所投产品功能、技术参数优于或完全满足招标文件要求，技术方案和设备功能描述详细，产品选型有充分的依据，配套设施完善，各类证明材料完整，计(19-28)分； 所投产品功能满足基本要求，技术参数佐证材料较完善，有技术方案和设备功能描述，产品选型合理，有产品配套内容，各类证明材料较为完整，计(8-19]分； 所投产品功能不能完全满足要求（有负偏离），技术资料不完整，产品功能描述一般，技术参数不明确，产品选型和配套不合理，各类证明材料不完整，计(0-8]分；未提供不计分。 备注：证明材料包括但不限于测试报告、官网、功能截图等。</w:t>
            </w:r>
          </w:p>
        </w:tc>
        <w:tc>
          <w:tcPr>
            <w:tcW w:type="dxa" w:w="831"/>
          </w:tcPr>
          <w:p>
            <w:pPr>
              <w:pStyle w:val="null3"/>
              <w:jc w:val="right"/>
            </w:pPr>
            <w:r>
              <w:rPr/>
              <w:t>28.0000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产品来源</w:t>
            </w:r>
          </w:p>
        </w:tc>
        <w:tc>
          <w:tcPr>
            <w:tcW w:type="dxa" w:w="2492"/>
          </w:tcPr>
          <w:p>
            <w:pPr>
              <w:pStyle w:val="null3"/>
            </w:pPr>
            <w:r>
              <w:rPr/>
              <w:t>产品来源渠道正常，能针对本项目产品提供来源渠道合法证明材料（包括但不限于销售协议、代理协议、原厂授权）等，按其情况赋0-5分。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质量保障措施</w:t>
            </w:r>
          </w:p>
        </w:tc>
        <w:tc>
          <w:tcPr>
            <w:tcW w:type="dxa" w:w="2492"/>
          </w:tcPr>
          <w:p>
            <w:pPr>
              <w:pStyle w:val="null3"/>
            </w:pPr>
            <w:r>
              <w:rPr/>
              <w:t>投标单位提供详细的质量保证措施。质量保证措施得力，能有效地保障项目实施过程的衔接、保证项目质量。响应产品质量保证措施全面、具体、可行、科学合理，计(6-8)分；响应产品质量保证措施基本完善、可行，计(3-6]分；响应产品质量保证措施不够完善、空泛，计(0-3]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售后服务方案</w:t>
            </w:r>
          </w:p>
        </w:tc>
        <w:tc>
          <w:tcPr>
            <w:tcW w:type="dxa" w:w="2492"/>
          </w:tcPr>
          <w:p>
            <w:pPr>
              <w:pStyle w:val="null3"/>
            </w:pPr>
            <w:r>
              <w:rPr/>
              <w:t>针对本项目具有本地售后服务能力（提供证明材料、联系方式等），可行的售后服务方案，方案有具体的售后服务内容、故障响应时间、响应方式等。售后服务方案及措施，详细、全面、科学合理、可行的，计(4-6)分；售后方案及措施基本全面、可行，计(2-4]分；售后方案及措施简单、可行性差计(0-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培训方案</w:t>
            </w:r>
          </w:p>
        </w:tc>
        <w:tc>
          <w:tcPr>
            <w:tcW w:type="dxa" w:w="2492"/>
          </w:tcPr>
          <w:p>
            <w:pPr>
              <w:pStyle w:val="null3"/>
            </w:pPr>
            <w:r>
              <w:rPr/>
              <w:t>针对本项目具有可行的技术培训方案，培训方案应包括培训计划、培训时间、培训对象、操作维护方法、排除故障等方面，培训方案内容完整、合理可行，可操作性强，计(3-5)分；培训方案内容具有可操作性，计(1-3]分；培训方案空泛，无实质性内容，计(0-1]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提供2021年至今类似项目的合同（以签订时间为准），每提供一份业绩合同计1分，最高3分。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20.0000%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