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版本号：ZC-HJL2025-02020251014001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印台区司法局智慧互动式法治宣传服务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ZC-HJL2025-020</w:t>
      </w:r>
      <w:r>
        <w:br/>
      </w:r>
      <w:r>
        <w:br/>
      </w:r>
      <w:r>
        <w:br/>
      </w:r>
    </w:p>
    <w:p>
      <w:pPr>
        <w:pStyle w:val="null3"/>
        <w:jc w:val="center"/>
        <w:outlineLvl w:val="2"/>
      </w:pPr>
      <w:r>
        <w:rPr>
          <w:rFonts w:ascii="仿宋_GB2312" w:hAnsi="仿宋_GB2312" w:cs="仿宋_GB2312" w:eastAsia="仿宋_GB2312"/>
          <w:sz w:val="28"/>
          <w:b/>
        </w:rPr>
        <w:t>铜川市印台区司法局</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铜川市印台区司法局</w:t>
      </w:r>
      <w:r>
        <w:rPr>
          <w:rFonts w:ascii="仿宋_GB2312" w:hAnsi="仿宋_GB2312" w:cs="仿宋_GB2312" w:eastAsia="仿宋_GB2312"/>
        </w:rPr>
        <w:t>委托，拟对</w:t>
      </w:r>
      <w:r>
        <w:rPr>
          <w:rFonts w:ascii="仿宋_GB2312" w:hAnsi="仿宋_GB2312" w:cs="仿宋_GB2312" w:eastAsia="仿宋_GB2312"/>
        </w:rPr>
        <w:t>印台区司法局智慧互动式法治宣传服务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ZC-HJL2025-020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印台区司法局智慧互动式法治宣传服务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印台区司法局智慧互动式法治宣传服务，制作民法典的伟大意义雕塑、各种民法典宣传小品等。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采购包1（铜川市印台区司法局智慧互动式法治宣传设备）：属于专门面向中小企业采购。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 单位法人证书等国 家规定的相关证明，自然人参与的提供其身份证明。</w:t>
      </w:r>
    </w:p>
    <w:p>
      <w:pPr>
        <w:pStyle w:val="null3"/>
      </w:pPr>
      <w:r>
        <w:rPr>
          <w:rFonts w:ascii="仿宋_GB2312" w:hAnsi="仿宋_GB2312" w:cs="仿宋_GB2312" w:eastAsia="仿宋_GB2312"/>
        </w:rPr>
        <w:t>2、法定代表人授权书：法定代表人授权书及被授权人身份证明。（法定代表人直接投标只须提供其身份证明）</w:t>
      </w:r>
    </w:p>
    <w:p>
      <w:pPr>
        <w:pStyle w:val="null3"/>
      </w:pPr>
      <w:r>
        <w:rPr>
          <w:rFonts w:ascii="仿宋_GB2312" w:hAnsi="仿宋_GB2312" w:cs="仿宋_GB2312" w:eastAsia="仿宋_GB2312"/>
        </w:rPr>
        <w:t>3、财务状况报告：提供2022年-2024年度任意一年经审计的财务报告（包括“四表一注”，即资产负债表、利 润表、现金流量表、所有者权益变动表及其附注，成立时间至提交投标文件截止时间不足一 年的可提供成立后任意时段的资产负债表），或其开标前六个月内银行出具的资信证明。（ 以上两种形式的资料提供任何一种即可）。</w:t>
      </w:r>
    </w:p>
    <w:p>
      <w:pPr>
        <w:pStyle w:val="null3"/>
      </w:pPr>
      <w:r>
        <w:rPr>
          <w:rFonts w:ascii="仿宋_GB2312" w:hAnsi="仿宋_GB2312" w:cs="仿宋_GB2312" w:eastAsia="仿宋_GB2312"/>
        </w:rPr>
        <w:t>4、税收缴纳证明：提供2025年1月至今已缴纳至少连续三个月的依法缴纳税款的相关凭据（时间以税款所属日 期为准），凭据应有税务机关或代收机关的公章或业务专用章。依法免税或无须缴纳税款的 投标人，应提供相关证明文件。</w:t>
      </w:r>
    </w:p>
    <w:p>
      <w:pPr>
        <w:pStyle w:val="null3"/>
      </w:pPr>
      <w:r>
        <w:rPr>
          <w:rFonts w:ascii="仿宋_GB2312" w:hAnsi="仿宋_GB2312" w:cs="仿宋_GB2312" w:eastAsia="仿宋_GB2312"/>
        </w:rPr>
        <w:t>5、社会保障资金缴纳证明：提供2025年1月至今已缴存的至少连续三个月的社会保障资金缴存单据或社保机构开具的社 会保险参保缴费情况证明，依法不需要缴纳社会保障资金的单位应提供相关证明材料。</w:t>
      </w:r>
    </w:p>
    <w:p>
      <w:pPr>
        <w:pStyle w:val="null3"/>
      </w:pPr>
      <w:r>
        <w:rPr>
          <w:rFonts w:ascii="仿宋_GB2312" w:hAnsi="仿宋_GB2312" w:cs="仿宋_GB2312" w:eastAsia="仿宋_GB2312"/>
        </w:rPr>
        <w:t>6、书面声明：提供参加政府采购活动前三年内，在经营活动中没有重大违法记录的投标响应声明书；</w:t>
      </w:r>
    </w:p>
    <w:p>
      <w:pPr>
        <w:pStyle w:val="null3"/>
      </w:pPr>
      <w:r>
        <w:rPr>
          <w:rFonts w:ascii="仿宋_GB2312" w:hAnsi="仿宋_GB2312" w:cs="仿宋_GB2312" w:eastAsia="仿宋_GB2312"/>
        </w:rPr>
        <w:t>7、承诺函：提供具有履行合同所必需的设备和专业技术能力的承诺函。</w:t>
      </w:r>
    </w:p>
    <w:p>
      <w:pPr>
        <w:pStyle w:val="null3"/>
      </w:pPr>
      <w:r>
        <w:rPr>
          <w:rFonts w:ascii="仿宋_GB2312" w:hAnsi="仿宋_GB2312" w:cs="仿宋_GB2312" w:eastAsia="仿宋_GB2312"/>
        </w:rPr>
        <w:t>8、信用查询：投标人不得为“信用中国”网站 （www.creditchina.gov.cn）中列入失信被执行人和重大 税收违法案 件当事人名单的投标人，不得为中国政府采购网（www.ccgp.gov.cn）政府采 购严重违法失信行为记录名单中被财政 部门禁止参加政府采购活动的投标人；</w:t>
      </w:r>
    </w:p>
    <w:p>
      <w:pPr>
        <w:pStyle w:val="null3"/>
      </w:pPr>
      <w:r>
        <w:rPr>
          <w:rFonts w:ascii="仿宋_GB2312" w:hAnsi="仿宋_GB2312" w:cs="仿宋_GB2312" w:eastAsia="仿宋_GB2312"/>
        </w:rPr>
        <w:t>9、承诺函：单位负责人为同一人或者存在直接控股、管 理关系的不同投标人，不得参加同一合同项下 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铜川市印台区司法局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印台区同官路80号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铜川市印台区司法局经办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15809195222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陕西省西安市碑林区西安市碑林区南二环东段561号，长安大街3号A座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张秋艳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13772003800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代理服务费收费标准：参见国家计委颁布的《招标代理服务收费管理暂行办法》（计价格 [2002]1980号）</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铜川市印台区司法局</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铜川市印台区司法局</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铜川市印台区司法局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联系人：巩毓</w:t>
      </w:r>
    </w:p>
    <w:p>
      <w:pPr>
        <w:pStyle w:val="null3"/>
      </w:pPr>
      <w:r>
        <w:rPr>
          <w:rFonts w:ascii="仿宋_GB2312" w:hAnsi="仿宋_GB2312" w:cs="仿宋_GB2312" w:eastAsia="仿宋_GB2312"/>
        </w:rPr>
        <w:t>联系电话：18091920996</w:t>
      </w:r>
    </w:p>
    <w:p>
      <w:pPr>
        <w:pStyle w:val="null3"/>
      </w:pPr>
      <w:r>
        <w:rPr>
          <w:rFonts w:ascii="仿宋_GB2312" w:hAnsi="仿宋_GB2312" w:cs="仿宋_GB2312" w:eastAsia="仿宋_GB2312"/>
        </w:rPr>
        <w:t>地址：陕西省西安市碑林区西安市碑林区南二环东段561号，长安大街3号A座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印台区司法局智慧互动式法治宣传服务，民法典的伟大意义雕塑、各种民法典宣传小品等。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铜川市印台区司法局智慧互动式法治宣传服务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标的名称：铜川市印台区司法局智慧互动式法治宣传服务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06"/>
              <w:gridCol w:w="416"/>
              <w:gridCol w:w="1516"/>
              <w:gridCol w:w="206"/>
              <w:gridCol w:w="206"/>
            </w:tblGrid>
            <w:tr>
              <w:tc>
                <w:tcPr>
                  <w:tcW w:type="dxa" w:w="2550"/>
                  <w:gridSpan w:val="5"/>
                  <w:tcBorders>
                    <w:top w:val="single" w:color="000000" w:sz="4"/>
                    <w:left w:val="single" w:color="000000" w:sz="4"/>
                    <w:bottom w:val="single" w:color="000000" w:sz="4"/>
                    <w:right w:val="single" w:color="000000" w:sz="4"/>
                  </w:tcBorders>
                  <w:shd w:fill="B5C6EA"/>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铜川市印台区司法局智慧互动式法治宣传服务清单</w:t>
                  </w:r>
                </w:p>
              </w:tc>
            </w:tr>
            <w:tr>
              <w:tc>
                <w:tcPr>
                  <w:tcW w:type="dxa" w:w="206"/>
                  <w:tcBorders>
                    <w:top w:val="single" w:color="000000" w:sz="4"/>
                    <w:left w:val="single" w:color="000000" w:sz="4"/>
                    <w:bottom w:val="single" w:color="000000" w:sz="4"/>
                    <w:right w:val="single" w:color="000000" w:sz="4"/>
                  </w:tcBorders>
                  <w:shd w:fill="B5C6EA"/>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416"/>
                  <w:tcBorders>
                    <w:top w:val="single" w:color="000000" w:sz="4"/>
                    <w:left w:val="single" w:color="000000" w:sz="4"/>
                    <w:bottom w:val="single" w:color="000000" w:sz="4"/>
                    <w:right w:val="single" w:color="000000" w:sz="4"/>
                  </w:tcBorders>
                  <w:shd w:fill="B5C6EA"/>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名称</w:t>
                  </w:r>
                </w:p>
              </w:tc>
              <w:tc>
                <w:tcPr>
                  <w:tcW w:type="dxa" w:w="1516"/>
                  <w:tcBorders>
                    <w:top w:val="single" w:color="000000" w:sz="4"/>
                    <w:left w:val="single" w:color="000000" w:sz="4"/>
                    <w:bottom w:val="single" w:color="000000" w:sz="4"/>
                    <w:right w:val="single" w:color="000000" w:sz="4"/>
                  </w:tcBorders>
                  <w:shd w:fill="B5C6EA"/>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工艺</w:t>
                  </w:r>
                </w:p>
              </w:tc>
              <w:tc>
                <w:tcPr>
                  <w:tcW w:type="dxa" w:w="206"/>
                  <w:tcBorders>
                    <w:top w:val="single" w:color="000000" w:sz="4"/>
                    <w:left w:val="single" w:color="000000" w:sz="4"/>
                    <w:bottom w:val="single" w:color="000000" w:sz="4"/>
                    <w:right w:val="single" w:color="000000" w:sz="4"/>
                  </w:tcBorders>
                  <w:shd w:fill="B5C6EA"/>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206"/>
                  <w:tcBorders>
                    <w:top w:val="single" w:color="000000" w:sz="4"/>
                    <w:left w:val="single" w:color="000000" w:sz="4"/>
                    <w:bottom w:val="single" w:color="000000" w:sz="4"/>
                    <w:right w:val="none" w:color="000000" w:sz="4"/>
                  </w:tcBorders>
                  <w:shd w:fill="B5C6EA"/>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民法典的伟大意义</w:t>
                  </w:r>
                  <w:r>
                    <w:br/>
                  </w:r>
                  <w:r>
                    <w:rPr>
                      <w:rFonts w:ascii="仿宋_GB2312" w:hAnsi="仿宋_GB2312" w:cs="仿宋_GB2312" w:eastAsia="仿宋_GB2312"/>
                      <w:sz w:val="22"/>
                      <w:color w:val="000000"/>
                    </w:rPr>
                    <w:t xml:space="preserve"> 雕塑</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采用1.5镀锌板，激光切割，焊接、打磨、烤漆，大字金属字烤漆、小字丝网印。</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2</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造型发光时光隧道</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采用透光有色亚克力，大字金属字烤漆+亚克力背光字，造型晚上发光。</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3</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透明发光造型</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采用1.5镀锌板，激光切割，焊接、打磨、烤漆，透明彩色亚克力，文字部分发光</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4</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总则编落地造型小品</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采用1.5镀锌板，激光切割，焊接、打磨、烤漆，大字金属字烤漆、小字丝网印。</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5</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桌子凳子造型</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采用1.5镀锌板模板，激光切割，焊接、打磨、烤漆，桌面采用树脂。</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6</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灯光树池座凳</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漫画投影灯，正方体造型发光</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7</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法治漫画墙</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部分造型做发光，文字发光</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8</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立式宣传书报栏</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中间部分钢化玻璃</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9</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体感互动小品</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中间部分显示屏，包含定制法治互动体感程序及法治游戏</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10</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民法典形象小品</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中间部分钢化玻璃，广告部分贴超透彩白彩</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11</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法治驿站座椅1</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坐凳后面贴立体字</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12</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法治驿站座椅2</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采用1.5镀锌板，激光切割，焊接、打磨、烤漆</w:t>
                  </w:r>
                  <w:r>
                    <w:br/>
                  </w:r>
                  <w:r>
                    <w:rPr>
                      <w:rFonts w:ascii="仿宋_GB2312" w:hAnsi="仿宋_GB2312" w:cs="仿宋_GB2312" w:eastAsia="仿宋_GB2312"/>
                      <w:sz w:val="22"/>
                      <w:color w:val="000000"/>
                    </w:rPr>
                    <w:t xml:space="preserve"> 大字镂空</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13</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安防设备、警告设备安装</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摄像头、报警器、远程数据云服务、基础立杆</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14</w:t>
                  </w:r>
                </w:p>
              </w:tc>
              <w:tc>
                <w:tcPr>
                  <w:tcW w:type="dxa" w:w="4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施工相关配套</w:t>
                  </w:r>
                </w:p>
              </w:tc>
              <w:tc>
                <w:tcPr>
                  <w:tcW w:type="dxa" w:w="15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配套线路设施安装及场地设施施工后恢复</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符合甲方要求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详见采购服务清单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符合现行规范、规程、规定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甲乙双方因合同发生争议，进行调解，协商不成，可向甲方所在地人民法院提起诉讼。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供应商应具备《中华人民共和国政府采购法》第二十二条规定的条件一般资格条款</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 单位法人证书等国 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提供2022年-2024年度任意一年经审计的财务报告（包括“四表一注”，即资产负债表、利 润表、现金流量表、所有者权益变动表及其附注，成立时间至提交投标文件截止时间不足一 年的可提供成立后任意时段的资产负债表），或其开标前六个月内银行出具的资信证明。（ 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提供2025年1月至今已缴纳至少连续三个月的依法缴纳税款的相关凭据（时间以税款所属日 期为准），凭据应有税务机关或代收机关的公章或业务专用章。依法免税或无须缴纳税款的 投标人，应提供相关证明文件。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提供2025年1月至今已缴存的至少连续三个月的社会保障资金缴存单据或社保机构开具的社 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投标人不得为“信用中国”网站 （www.creditchina.gov.cn）中列入失信被执行人和重大 税收违法案 件当事人名单的投标人，不得为中国政府采购网（www.ccgp.gov.cn）政府采 购严重违法失信行为记录名单中被财政 部门禁止参加政府采购活动的投标人；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单位负责人为同一人或者存在直接控股、管 理关系的不同投标人，不得参加同一合同项下 的政府采购活动；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中小企业声明函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投标文件签字盖章</w:t>
            </w:r>
          </w:p>
        </w:tc>
        <w:tc>
          <w:tcPr>
            <w:tcW w:type="dxa" w:w="3322"/>
          </w:tcPr>
          <w:p>
            <w:pPr>
              <w:pStyle w:val="null3"/>
            </w:pPr>
            <w:r>
              <w:rPr>
                <w:rFonts w:ascii="仿宋_GB2312" w:hAnsi="仿宋_GB2312" w:cs="仿宋_GB2312" w:eastAsia="仿宋_GB2312"/>
              </w:rPr>
              <w:t>投标文件必须由法定代表人或其授权代理人盖章或签字并加盖公章</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 “投标文件格式”的要求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一份投标文件只有一个投标报价</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截止开标之日起90日历日</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报价有效性</w:t>
            </w:r>
          </w:p>
        </w:tc>
        <w:tc>
          <w:tcPr>
            <w:tcW w:type="dxa" w:w="3322"/>
          </w:tcPr>
          <w:p>
            <w:pPr>
              <w:pStyle w:val="null3"/>
            </w:pPr>
            <w:r>
              <w:rPr>
                <w:rFonts w:ascii="仿宋_GB2312" w:hAnsi="仿宋_GB2312" w:cs="仿宋_GB2312" w:eastAsia="仿宋_GB2312"/>
              </w:rPr>
              <w:t>总报价未超出招标人设定的上限控制价为有效报价。 注：除此之外的报价视为无效报价，按废标处理，且不参与评标基准价计算。</w:t>
            </w:r>
          </w:p>
        </w:tc>
        <w:tc>
          <w:tcPr>
            <w:tcW w:type="dxa" w:w="1661"/>
          </w:tcPr>
          <w:p>
            <w:pPr>
              <w:pStyle w:val="null3"/>
            </w:pPr>
            <w:r>
              <w:rPr>
                <w:rFonts w:ascii="仿宋_GB2312" w:hAnsi="仿宋_GB2312" w:cs="仿宋_GB2312" w:eastAsia="仿宋_GB2312"/>
              </w:rPr>
              <w:t>响应文件封面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 求 分 析</w:t>
            </w:r>
          </w:p>
        </w:tc>
        <w:tc>
          <w:tcPr>
            <w:tcW w:type="dxa" w:w="2492"/>
          </w:tcPr>
          <w:p>
            <w:pPr>
              <w:pStyle w:val="null3"/>
            </w:pPr>
            <w:r>
              <w:rPr>
                <w:rFonts w:ascii="仿宋_GB2312" w:hAnsi="仿宋_GB2312" w:cs="仿宋_GB2312" w:eastAsia="仿宋_GB2312"/>
              </w:rPr>
              <w:t>对项目现状及项目背景的认识分析情况准确，得11-15分；对项目现状及项目背景的认识分析情况较准确，6-10分； 对项目现状及项目背景的认识分析情况一般，得0-5分。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 体 服 务 方 案</w:t>
            </w:r>
          </w:p>
        </w:tc>
        <w:tc>
          <w:tcPr>
            <w:tcW w:type="dxa" w:w="2492"/>
          </w:tcPr>
          <w:p>
            <w:pPr>
              <w:pStyle w:val="null3"/>
            </w:pPr>
            <w:r>
              <w:rPr>
                <w:rFonts w:ascii="仿宋_GB2312" w:hAnsi="仿宋_GB2312" w:cs="仿宋_GB2312" w:eastAsia="仿宋_GB2312"/>
              </w:rPr>
              <w:t>针对本项目提供完善的实施方案：方案要求安全、规范、合理，能满足采购方的采购需求；包含明确的设计、采购、 制作、加工、安装等流程。总体实施方案逻辑性强、可行性高，有明确的项目实施流程，内容完整、条理清晰、说明 详尽，赋分（15-20】分；总体方案逻辑性欠缺，程序尚合理内容较为完整且具有一定的可行性的赋分（6-15】分； 总体方案描述模糊，无较高可行性的计 赋分（0-6】分。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宣 传 效 果 展 示</w:t>
            </w:r>
          </w:p>
        </w:tc>
        <w:tc>
          <w:tcPr>
            <w:tcW w:type="dxa" w:w="2492"/>
          </w:tcPr>
          <w:p>
            <w:pPr>
              <w:pStyle w:val="null3"/>
            </w:pPr>
            <w:r>
              <w:rPr>
                <w:rFonts w:ascii="仿宋_GB2312" w:hAnsi="仿宋_GB2312" w:cs="仿宋_GB2312" w:eastAsia="仿宋_GB2312"/>
              </w:rPr>
              <w:t>供应商针对本项目法治宣传总体要求、内容、场景等提供宣传效果展示，格式不限。展示的内容全面、完整，切合采 购人实际需求，完美体现宣传效果，赋分（10-15】分；效果图展示内容较全面、完整，基本满足采购人实际需求，（ 6-10】分；效果图展示内容不全面，不能满足采购人实际需求，（0-6】分；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 目 制 作 方 案</w:t>
            </w:r>
          </w:p>
        </w:tc>
        <w:tc>
          <w:tcPr>
            <w:tcW w:type="dxa" w:w="2492"/>
          </w:tcPr>
          <w:p>
            <w:pPr>
              <w:pStyle w:val="null3"/>
            </w:pPr>
            <w:r>
              <w:rPr>
                <w:rFonts w:ascii="仿宋_GB2312" w:hAnsi="仿宋_GB2312" w:cs="仿宋_GB2312" w:eastAsia="仿宋_GB2312"/>
              </w:rPr>
              <w:t>供应商提供针对本项目采购内容的制作方案，包含制作工艺、支撑方式、材料、规格、防腐处理等。制作方案满足采 购文件要求，描述清楚详尽、逻辑思维清晰合理、可行性高，赋(9-15】分；制作方案内容较为合理，内容完整，有一 定可行性，赋(5-9】分；制作方案内容欠缺，描述模糊不清，操作性不强，赋(0-5】分。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 员 组 织 方 案</w:t>
            </w:r>
          </w:p>
        </w:tc>
        <w:tc>
          <w:tcPr>
            <w:tcW w:type="dxa" w:w="2492"/>
          </w:tcPr>
          <w:p>
            <w:pPr>
              <w:pStyle w:val="null3"/>
            </w:pPr>
            <w:r>
              <w:rPr>
                <w:rFonts w:ascii="仿宋_GB2312" w:hAnsi="仿宋_GB2312" w:cs="仿宋_GB2312" w:eastAsia="仿宋_GB2312"/>
              </w:rPr>
              <w:t>针对本项目，有具体的人员组织安排，人员配备科学、合理，岗位职责明晰、分工明确，赋（5-8】分；人员配备不足 ，基本符合本项目实际情况，不影响项目进度的赋（0-5】分；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 量 保 证 措 施</w:t>
            </w:r>
          </w:p>
        </w:tc>
        <w:tc>
          <w:tcPr>
            <w:tcW w:type="dxa" w:w="2492"/>
          </w:tcPr>
          <w:p>
            <w:pPr>
              <w:pStyle w:val="null3"/>
            </w:pPr>
            <w:r>
              <w:rPr>
                <w:rFonts w:ascii="仿宋_GB2312" w:hAnsi="仿宋_GB2312" w:cs="仿宋_GB2312" w:eastAsia="仿宋_GB2312"/>
              </w:rPr>
              <w:t>提供质量保证措施，确保制作材料及配件货源渠道正常，使用效果好，无劣质、瑕疵产品，并严格执行国家或行业标 准。质量保证措施具体可行，针对性强，赋（5-8】分；质量保证措施基本可行，有一定针对性，内容描述基本清楚， 赋（2-5】分；质量保证措施内容欠缺，无法确保材料配件质量，赋（0-2】分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 后 服 务 方 案</w:t>
            </w:r>
          </w:p>
        </w:tc>
        <w:tc>
          <w:tcPr>
            <w:tcW w:type="dxa" w:w="2492"/>
          </w:tcPr>
          <w:p>
            <w:pPr>
              <w:pStyle w:val="null3"/>
            </w:pPr>
            <w:r>
              <w:rPr>
                <w:rFonts w:ascii="仿宋_GB2312" w:hAnsi="仿宋_GB2312" w:cs="仿宋_GB2312" w:eastAsia="仿宋_GB2312"/>
              </w:rPr>
              <w:t>供应商应结合实际提供完整的售后服务方案，如售后服务流程、售后服务内容、响应时间、售后服务质量监督及响应 方案。售后服务方案周全、详尽合理，能够全面满足项目要求，赋（2-5】分；售后服务方案简单，实施效果待定，赋 （0-2】分。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 似 业 绩</w:t>
            </w:r>
          </w:p>
        </w:tc>
        <w:tc>
          <w:tcPr>
            <w:tcW w:type="dxa" w:w="2492"/>
          </w:tcPr>
          <w:p>
            <w:pPr>
              <w:pStyle w:val="null3"/>
            </w:pPr>
            <w:r>
              <w:rPr>
                <w:rFonts w:ascii="仿宋_GB2312" w:hAnsi="仿宋_GB2312" w:cs="仿宋_GB2312" w:eastAsia="仿宋_GB2312"/>
              </w:rPr>
              <w:t>提供自2022年1月1日至今类似项目业绩合同或中标通知书（加盖供应商红色公章），每提供一个计1分，满分4分。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有效供应商最低报价作为基准价，各供应商的报价得分按下列公式计算：（基准价/投标报 价）×10%×100分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