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版本号：LT2025-103220251030001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印台区网格化管理信息平台提升改造项目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LT2025-1032</w:t>
      </w:r>
      <w:r>
        <w:br/>
      </w:r>
      <w:r>
        <w:br/>
      </w:r>
      <w:r>
        <w:br/>
      </w:r>
    </w:p>
    <w:p>
      <w:pPr>
        <w:pStyle w:val="null3"/>
        <w:jc w:val="center"/>
        <w:outlineLvl w:val="2"/>
      </w:pPr>
      <w:r>
        <w:rPr>
          <w:rFonts w:ascii="仿宋_GB2312" w:hAnsi="仿宋_GB2312" w:cs="仿宋_GB2312" w:eastAsia="仿宋_GB2312"/>
          <w:sz w:val="28"/>
          <w:b/>
        </w:rPr>
        <w:t>铜川市生态环境局印台分局</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铜川市生态环境局印台分局</w:t>
      </w:r>
      <w:r>
        <w:rPr>
          <w:rFonts w:ascii="仿宋_GB2312" w:hAnsi="仿宋_GB2312" w:cs="仿宋_GB2312" w:eastAsia="仿宋_GB2312"/>
        </w:rPr>
        <w:t>委托，拟对</w:t>
      </w:r>
      <w:r>
        <w:rPr>
          <w:rFonts w:ascii="仿宋_GB2312" w:hAnsi="仿宋_GB2312" w:cs="仿宋_GB2312" w:eastAsia="仿宋_GB2312"/>
        </w:rPr>
        <w:t>印台区网格化管理信息平台提升改造项目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LT2025-1032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印台区网格化管理信息平台提升改造项目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印台区网格化管理信息平台提升改造项目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1、营业执照：具有独立承担民事责任能力的法人或其他组织，提供合法有效的统一社会信用代码的营业执照或事业单位法人证书等国家规定的相关证明，自然人参与的提供其身份证明；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2、采购活动前3年内在经营活动中没有重大违法记录：供应商应具备良好的商业信誉，提供参加政府采购活动前3年内在经营活动中没有重大违法记录的书面声明；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财务状况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4、社会保障资金缴纳证明：供应商提供近一年内本单位已缴存的至少一个月的社会保障资金缴存单据或社保机构开具的社会保险参保缴费情况证明，依法不需要缴纳社会保障资金的供应商应提供相关文件证明；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5、税收缴纳证明：供应商提供近一年内已缴纳的至少一个月的纳税证明或完税证明，纳税证明或完税证明上应有代收机构或税务机关的公章，依法免税的供应商应提供相关文件证明；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6、具备履行合同所必需的设备和专业技术能力：具备履行合同所必需的设备和专业技术能力的证明材料</w:t>
      </w:r>
    </w:p>
    <w:p>
      <w:pPr>
        <w:pStyle w:val="null3"/>
      </w:pPr>
      <w:r>
        <w:rPr>
          <w:rFonts w:ascii="仿宋_GB2312" w:hAnsi="仿宋_GB2312" w:cs="仿宋_GB2312" w:eastAsia="仿宋_GB2312"/>
        </w:rPr>
        <w:t>7、信用中国：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p>
      <w:pPr>
        <w:pStyle w:val="null3"/>
      </w:pPr>
      <w:r>
        <w:rPr>
          <w:rFonts w:ascii="仿宋_GB2312" w:hAnsi="仿宋_GB2312" w:cs="仿宋_GB2312" w:eastAsia="仿宋_GB2312"/>
        </w:rPr>
        <w:t>8、法定代表人证明或授权：法定代表人直接参加投标的，须出具法人身份证明及身份证；法定代表人授权代表参加投标的，须出具法定代表人授权书及授权代表身份证。</w:t>
      </w:r>
    </w:p>
    <w:p>
      <w:pPr>
        <w:pStyle w:val="null3"/>
      </w:pPr>
      <w:r>
        <w:rPr>
          <w:rFonts w:ascii="仿宋_GB2312" w:hAnsi="仿宋_GB2312" w:cs="仿宋_GB2312" w:eastAsia="仿宋_GB2312"/>
        </w:rPr>
        <w:t>9、控股要求：单位负责人为同一人或者存在直接控股、管理关系的不同供应商不得参加同一合同项下的政府采购活动；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铜川市生态环境局印台分局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铜川市印台区城关南路50号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闫文婷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8100153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029-87976716转605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采购包1：511,200.00元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标准收取。2.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铜川市生态环境局印台分局</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铜川市生态环境局印台分局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铜川市生态环境局印台分局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联系电话：029-87976716-605</w:t>
      </w:r>
    </w:p>
    <w:p>
      <w:pPr>
        <w:pStyle w:val="null3"/>
      </w:pPr>
      <w:r>
        <w:rPr>
          <w:rFonts w:ascii="仿宋_GB2312" w:hAnsi="仿宋_GB2312" w:cs="仿宋_GB2312" w:eastAsia="仿宋_GB2312"/>
        </w:rPr>
        <w:t>地址：陕西省西安市碑林区更新街13号铭爵大厦7楼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升印台区大气污染防治与网格化监管能力，建设集视频监控、云端存储、实时回看、统一管理于一体的视频监控平台，实现对现有15个监控点位的全面升级与统一运维管理，确保系统稳定运行、数据安全可靠、监管高效精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511,200.00</w:t>
      </w:r>
    </w:p>
    <w:p>
      <w:pPr>
        <w:pStyle w:val="null3"/>
      </w:pPr>
      <w:r>
        <w:rPr>
          <w:rFonts w:ascii="仿宋_GB2312" w:hAnsi="仿宋_GB2312" w:cs="仿宋_GB2312" w:eastAsia="仿宋_GB2312"/>
        </w:rPr>
        <w:t>采购包最高限价（元）: 511,200.00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铜川市印台区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511,200.00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标的名称：铜川市印台区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402"/>
              <w:gridCol w:w="908"/>
              <w:gridCol w:w="586"/>
              <w:gridCol w:w="236"/>
              <w:gridCol w:w="232"/>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服务项目名称</w:t>
                  </w:r>
                </w:p>
              </w:tc>
              <w:tc>
                <w:tcPr>
                  <w:tcW w:type="dxa" w:w="9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建设内容及参数要求</w:t>
                  </w:r>
                </w:p>
              </w:tc>
              <w:tc>
                <w:tcPr>
                  <w:tcW w:type="dxa" w:w="5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服务内容概要</w:t>
                  </w:r>
                </w:p>
              </w:tc>
              <w:tc>
                <w:tcPr>
                  <w:tcW w:type="dxa" w:w="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视频监控专网服务</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1.采用高可靠性、高带宽传输网络，单点接入带宽不低于50M ；</w:t>
                  </w:r>
                </w:p>
                <w:p>
                  <w:pPr>
                    <w:pStyle w:val="null3"/>
                    <w:jc w:val="left"/>
                  </w:pPr>
                  <w:r>
                    <w:rPr>
                      <w:rFonts w:ascii="仿宋_GB2312" w:hAnsi="仿宋_GB2312" w:cs="仿宋_GB2312" w:eastAsia="仿宋_GB2312"/>
                      <w:sz w:val="21"/>
                    </w:rPr>
                    <w:t>2.支持15个点位接入，汇聚至指定机房；</w:t>
                  </w:r>
                </w:p>
                <w:p>
                  <w:pPr>
                    <w:pStyle w:val="null3"/>
                    <w:jc w:val="left"/>
                  </w:pPr>
                  <w:r>
                    <w:rPr>
                      <w:rFonts w:ascii="仿宋_GB2312" w:hAnsi="仿宋_GB2312" w:cs="仿宋_GB2312" w:eastAsia="仿宋_GB2312"/>
                      <w:sz w:val="21"/>
                    </w:rPr>
                    <w:t>3. 提供7×24小时网络监控与故障响应。</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提供高</w:t>
                  </w:r>
                  <w:r>
                    <w:rPr>
                      <w:rFonts w:ascii="仿宋_GB2312" w:hAnsi="仿宋_GB2312" w:cs="仿宋_GB2312" w:eastAsia="仿宋_GB2312"/>
                      <w:sz w:val="21"/>
                    </w:rPr>
                    <w:t>可靠性传输网络，覆盖</w:t>
                  </w:r>
                  <w:r>
                    <w:rPr>
                      <w:rFonts w:ascii="仿宋_GB2312" w:hAnsi="仿宋_GB2312" w:cs="仿宋_GB2312" w:eastAsia="仿宋_GB2312"/>
                      <w:sz w:val="21"/>
                    </w:rPr>
                    <w:t>15个监控点位</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条</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视频设备运维服务</w:t>
                  </w:r>
                </w:p>
              </w:tc>
              <w:tc>
                <w:tcPr>
                  <w:tcW w:type="dxa" w:w="908"/>
                </w:tcPr>
                <w:p>
                  <w:pPr>
                    <w:pStyle w:val="null3"/>
                    <w:jc w:val="left"/>
                  </w:pPr>
                  <w:r>
                    <w:rPr>
                      <w:rFonts w:ascii="仿宋_GB2312" w:hAnsi="仿宋_GB2312" w:cs="仿宋_GB2312" w:eastAsia="仿宋_GB2312"/>
                      <w:sz w:val="21"/>
                    </w:rPr>
                    <w:t>1.每季度不少于1次现场巡检；</w:t>
                  </w:r>
                </w:p>
                <w:p>
                  <w:pPr>
                    <w:pStyle w:val="null3"/>
                    <w:jc w:val="left"/>
                  </w:pPr>
                  <w:r>
                    <w:rPr>
                      <w:rFonts w:ascii="仿宋_GB2312" w:hAnsi="仿宋_GB2312" w:cs="仿宋_GB2312" w:eastAsia="仿宋_GB2312"/>
                      <w:sz w:val="21"/>
                    </w:rPr>
                    <w:t>2.故障响应时间≤2小时，修复时间≤4小时；</w:t>
                  </w:r>
                </w:p>
                <w:p>
                  <w:pPr>
                    <w:pStyle w:val="null3"/>
                    <w:jc w:val="left"/>
                  </w:pPr>
                  <w:r>
                    <w:rPr>
                      <w:rFonts w:ascii="仿宋_GB2312" w:hAnsi="仿宋_GB2312" w:cs="仿宋_GB2312" w:eastAsia="仿宋_GB2312"/>
                      <w:sz w:val="21"/>
                    </w:rPr>
                    <w:t>3.提供年度运维报告。</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监控点位的设备巡检、故障处理、日常维护</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视频监控管理平台</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1.支持GB/T28181协议设备接入；</w:t>
                  </w:r>
                </w:p>
                <w:p>
                  <w:pPr>
                    <w:pStyle w:val="null3"/>
                    <w:jc w:val="left"/>
                  </w:pPr>
                  <w:r>
                    <w:rPr>
                      <w:rFonts w:ascii="仿宋_GB2312" w:hAnsi="仿宋_GB2312" w:cs="仿宋_GB2312" w:eastAsia="仿宋_GB2312"/>
                      <w:sz w:val="21"/>
                    </w:rPr>
                    <w:t>2.具备实时监控、录像回放、巡航存储、权限管理、日志审计等功能；</w:t>
                  </w:r>
                </w:p>
                <w:p>
                  <w:pPr>
                    <w:pStyle w:val="null3"/>
                    <w:jc w:val="left"/>
                  </w:pPr>
                  <w:r>
                    <w:rPr>
                      <w:rFonts w:ascii="仿宋_GB2312" w:hAnsi="仿宋_GB2312" w:cs="仿宋_GB2312" w:eastAsia="仿宋_GB2312"/>
                      <w:sz w:val="21"/>
                    </w:rPr>
                    <w:t>3.支持与现有市级平台数据对接 ；</w:t>
                  </w:r>
                </w:p>
                <w:p>
                  <w:pPr>
                    <w:pStyle w:val="null3"/>
                    <w:jc w:val="left"/>
                  </w:pPr>
                  <w:r>
                    <w:rPr>
                      <w:rFonts w:ascii="仿宋_GB2312" w:hAnsi="仿宋_GB2312" w:cs="仿宋_GB2312" w:eastAsia="仿宋_GB2312"/>
                      <w:sz w:val="21"/>
                    </w:rPr>
                    <w:t>4.提供平台定制开发与3年技术服务支持。</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具备实时监控、录像回放、权限管理等功能的统一平台</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视频云存储服务</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支持30天以上云端视频存储 ，支持多终端实时查看与回放 ，提供数据备份与安全保护机制</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w:t>
                  </w:r>
                  <w:r>
                    <w:rPr>
                      <w:rFonts w:ascii="仿宋_GB2312" w:hAnsi="仿宋_GB2312" w:cs="仿宋_GB2312" w:eastAsia="仿宋_GB2312"/>
                      <w:sz w:val="21"/>
                    </w:rPr>
                    <w:t>持</w:t>
                  </w:r>
                  <w:r>
                    <w:rPr>
                      <w:rFonts w:ascii="仿宋_GB2312" w:hAnsi="仿宋_GB2312" w:cs="仿宋_GB2312" w:eastAsia="仿宋_GB2312"/>
                      <w:sz w:val="21"/>
                    </w:rPr>
                    <w:t>30天以上云端存储、实时调阅与回放</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 xml:space="preserve"> </w:t>
                  </w:r>
                  <w:r>
                    <w:rPr>
                      <w:rFonts w:ascii="仿宋_GB2312" w:hAnsi="仿宋_GB2312" w:cs="仿宋_GB2312" w:eastAsia="仿宋_GB2312"/>
                      <w:sz w:val="21"/>
                    </w:rPr>
                    <w:t>网格员移动通信服务</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1.每张卡含不少于100G流量（含全国与省内）及300分钟语音 ；</w:t>
                  </w:r>
                </w:p>
                <w:p>
                  <w:pPr>
                    <w:pStyle w:val="null3"/>
                    <w:jc w:val="left"/>
                  </w:pPr>
                  <w:r>
                    <w:rPr>
                      <w:rFonts w:ascii="仿宋_GB2312" w:hAnsi="仿宋_GB2312" w:cs="仿宋_GB2312" w:eastAsia="仿宋_GB2312"/>
                      <w:sz w:val="21"/>
                    </w:rPr>
                    <w:t>2.支持全国漫游，提供通信保障服务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提供语音与数据通信服务，支持网格化监管</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张</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系统集成与施工服务</w:t>
                  </w:r>
                </w:p>
              </w:tc>
              <w:tc>
                <w:tcPr>
                  <w:tcW w:type="dxa" w:w="9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包含监控箱、网线、电源、管材等辅材 ， 提供安装调试、系统联调及验收服务。</w:t>
                  </w:r>
                </w:p>
              </w:tc>
              <w:tc>
                <w:tcPr>
                  <w:tcW w:type="dxa" w:w="5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包含设备安装、线缆布设、系统调试等</w:t>
                  </w:r>
                </w:p>
              </w:tc>
              <w:tc>
                <w:tcPr>
                  <w:tcW w:type="dxa" w:w="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自合同签订之日起一年，年度合同执行期满前，甲方考评合格后续签下年度合同，最长合同期限3年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达到国家及行业相关规范标准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项目完成最终验收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详见签订合同文本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七、供应商承诺书.docx 八、资格证明文件.docx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八、资格证明文件.docx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具有独立承担民事责任能力的法人或其他组织，提供合法有效的统一社会信用代码的营业执照或事业单位法人证书等国家规定的相关证明，自然人参与的提供其身份证明；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采购活动前3年内在经营活动中没有重大违法记录</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供应商提供近一年内本单位已缴存的至少一个月的社会保障资金缴存单据或社保机构开具的社会保险参保缴费情况证明，依法不需要缴纳社会保障资金的供应商应提供相关文件证明；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供应商提供近一年内已缴纳的至少一个月的纳税证明或完税证明，纳税证明或完税证明上应有代收机构或税务机关的公章，依法免税的供应商应提供相关文件证明；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p://zxgk.court.gov.cn/shixin/）、重大税收违法失信主体”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八、资格证明文件.docx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法定代表人证明或授权</w:t>
            </w:r>
          </w:p>
        </w:tc>
        <w:tc>
          <w:tcPr>
            <w:tcW w:type="dxa" w:w="3322"/>
          </w:tcPr>
          <w:p>
            <w:pPr>
              <w:pStyle w:val="null3"/>
            </w:pPr>
            <w:r>
              <w:rPr>
                <w:rFonts w:ascii="仿宋_GB2312" w:hAnsi="仿宋_GB2312" w:cs="仿宋_GB2312" w:eastAsia="仿宋_GB2312"/>
              </w:rPr>
              <w:t>法定代表人直接参加投标的，须出具法人身份证明及身份证；法定代表人授权代表参加投标的，须出具法定代表人授权书及授权代表身份证。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二、法人授权书.docx 八、资格证明文件.docx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八、资格证明文件.docx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六、商务及技术响应说明.docx 七、供应商承诺书.docx 九、附表1-3人员表.docx 中小企业声明函 报价表 十、其他证明资料.docx 响应文件封面 残疾人福利性单位声明函 二、法人授权书.docx 标的清单 八、资格证明文件.docx 五、方案说明.docx 响应函 四.投标分项报价表.docx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 包括但不限于对本项目的规划、解决方案、组织实施情况 、项目整体运维服务方案等</w:t>
            </w:r>
          </w:p>
        </w:tc>
        <w:tc>
          <w:tcPr>
            <w:tcW w:type="dxa" w:w="2492"/>
          </w:tcPr>
          <w:p>
            <w:pPr>
              <w:pStyle w:val="null3"/>
            </w:pPr>
            <w:r>
              <w:rPr>
                <w:rFonts w:ascii="仿宋_GB2312" w:hAnsi="仿宋_GB2312" w:cs="仿宋_GB2312" w:eastAsia="仿宋_GB2312"/>
              </w:rPr>
              <w:t>1、对项目要求分析准确，具体方案全面、详细合理；服务实施流程科学、可行，完全满足用户需求，得15分； 2、对项目要求分析较准确，具体方案较全面、较合理；服务实施流程较可行，满足用户需求，得11分； 3、对项目要求分析基本准确，具体方案基本全面、合理；服务实施流程基本可行，基本满足用户需求，得7分； 4、对项目要求分析一般，具体方案不够全面、合理；服务实施流程有一定可行性，基本满足用户需求，得3分；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质量保证措施：针对本项目制订质量保证措施</w:t>
            </w:r>
          </w:p>
        </w:tc>
        <w:tc>
          <w:tcPr>
            <w:tcW w:type="dxa" w:w="2492"/>
          </w:tcPr>
          <w:p>
            <w:pPr>
              <w:pStyle w:val="null3"/>
            </w:pPr>
            <w:r>
              <w:rPr>
                <w:rFonts w:ascii="仿宋_GB2312" w:hAnsi="仿宋_GB2312" w:cs="仿宋_GB2312" w:eastAsia="仿宋_GB2312"/>
              </w:rPr>
              <w:t>供应商针对本项目提供的服务质量保证方案（至少包括：①质量目标②质量管理体系③质量保证措施④质量保证承诺等），按其响应程度赋分； ①方案详细具体、无漏项、贴合实际、切实可行，满足采购人要求的得9分； ②方案一般、方案描述夸大其词、方案复制粘贴无任何操作性得6分； ③方案无法满足采购人要求的得3分；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供应商针对本项目提供的应急处置方案（至少包括：①应急组织机构②应急响应流程③作业过程中突发状况的应急处理方案④应急保障措施等），按其响应程度赋分； ①方案详细具体、无漏项、贴合实际、切实可行，满足采购人要求的得9分； ②方案一般、方案描述夸大其词、方案复制粘贴无任何操作性得6分； ③方案内容不完善、内容表述前后不一致、与项目需求不匹配、不利于项目实施得3分；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人员配备：投入本项目服务团队分工明确，配置齐全</w:t>
            </w:r>
          </w:p>
        </w:tc>
        <w:tc>
          <w:tcPr>
            <w:tcW w:type="dxa" w:w="2492"/>
          </w:tcPr>
          <w:p>
            <w:pPr>
              <w:pStyle w:val="null3"/>
            </w:pPr>
            <w:r>
              <w:rPr>
                <w:rFonts w:ascii="仿宋_GB2312" w:hAnsi="仿宋_GB2312" w:cs="仿宋_GB2312" w:eastAsia="仿宋_GB2312"/>
              </w:rPr>
              <w:t>1.项目团队有丰富的类似项目经验，团队人员资质、数量、专业配备合理，经验丰富得15分； 2.项目团队有类似项目经验，团队人员资质、数量、专业配备较合理，经验一般得11分； 3.团队人员资质、数量、专业配备基本合理，经验较少得7分； 4.团队人员资质、数量、专业配备较差，无类似项目经验得3分； 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九、附表1-3人员表.docx</w:t>
            </w:r>
          </w:p>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本项目的理解及分析</w:t>
            </w:r>
          </w:p>
        </w:tc>
        <w:tc>
          <w:tcPr>
            <w:tcW w:type="dxa" w:w="2492"/>
          </w:tcPr>
          <w:p>
            <w:pPr>
              <w:pStyle w:val="null3"/>
            </w:pPr>
            <w:r>
              <w:rPr>
                <w:rFonts w:ascii="仿宋_GB2312" w:hAnsi="仿宋_GB2312" w:cs="仿宋_GB2312" w:eastAsia="仿宋_GB2312"/>
              </w:rPr>
              <w:t>供应商对本项目的理解及分析， ①方案内容全面详细、阐述条理清晰，具有针对性，切实可行，能有效保障本项目实施，满足采购人要求得9分； ②方案内容较完善、合理性一般、内容表述不严谨、项目方案、与项目需求可行性一般，得6分； ③方案内容不完善、不合理、内容表述前后不一致、套用其他项目方案、与项目需求不匹配、不利于项目实施得3分；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本项目服务过程重难点分析及应对措施</w:t>
            </w:r>
          </w:p>
        </w:tc>
        <w:tc>
          <w:tcPr>
            <w:tcW w:type="dxa" w:w="2492"/>
          </w:tcPr>
          <w:p>
            <w:pPr>
              <w:pStyle w:val="null3"/>
            </w:pPr>
            <w:r>
              <w:rPr>
                <w:rFonts w:ascii="仿宋_GB2312" w:hAnsi="仿宋_GB2312" w:cs="仿宋_GB2312" w:eastAsia="仿宋_GB2312"/>
              </w:rPr>
              <w:t>供应商对本项目服务过程重难点分析及应对措施， ①方案内容全面详细、阐述条理清晰，具有针对性，切实可行，能有效保障本项目实施，满足采购人要求得9分； ②方案内容较完善、合理性一般、内容表述不严谨、项目方案、与项目需求可行性一般，得6分； ③方案内容不完善、不合理、内容表述前后不一致、套用其他项目方案、与项目需求不匹配、不利于项目实施得3分；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项目承诺及后期服务</w:t>
            </w:r>
          </w:p>
        </w:tc>
        <w:tc>
          <w:tcPr>
            <w:tcW w:type="dxa" w:w="2492"/>
          </w:tcPr>
          <w:p>
            <w:pPr>
              <w:pStyle w:val="null3"/>
            </w:pPr>
            <w:r>
              <w:rPr>
                <w:rFonts w:ascii="仿宋_GB2312" w:hAnsi="仿宋_GB2312" w:cs="仿宋_GB2312" w:eastAsia="仿宋_GB2312"/>
              </w:rPr>
              <w:t>具有完善的相关承诺及后期服务，根据供应商提供的售后服务体系及保障措施、售后服务承诺、服务响应时间、后期服务承诺等内容，方案优秀9分，方案一般6分，方案差得3分；不提供不得分。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 针对性强得9分； 合理化建议较合理，针对性一般得6分； 合理化建议简洁，针对性较差得3分；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五、方案说明.docx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提供供应商2022年1月1日至今类似业绩，每一个得2分，最高得 6分。（时间以合同签订时间为准） 备注:响应文件中提供合同复印件加盖公章。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十、其他证明资料.docx</w:t>
            </w:r>
          </w:p>
          <w:p>
            <w:pPr>
              <w:pStyle w:val="null3"/>
            </w:pPr>
            <w:r>
              <w:rPr>
                <w:rFonts w:ascii="仿宋_GB2312" w:hAnsi="仿宋_GB2312" w:cs="仿宋_GB2312" w:eastAsia="仿宋_GB2312"/>
              </w:rPr>
              <w:t>五、方案说明.docx</w:t>
            </w:r>
          </w:p>
          <w:p>
            <w:pPr>
              <w:pStyle w:val="null3"/>
            </w:pPr>
            <w:r>
              <w:rPr>
                <w:rFonts w:ascii="仿宋_GB2312" w:hAnsi="仿宋_GB2312" w:cs="仿宋_GB2312" w:eastAsia="仿宋_GB2312"/>
              </w:rPr>
              <w:t>九、附表1-3人员表.docx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采用低价优先法计算，即满足响应文件要求且磋商价格最低的磋商报价为评标基准价，其价格分为满分。 磋商报价得分＝（评标基准价/磋商报价）×价格分值；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四.投标分项报价表.docx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 四.投标分项报价表.docx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详见附件：二、法人授权书.docx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详见附件：四.投标分项报价表.docx</w:t>
      </w:r>
    </w:p>
    <w:p>
      <w:pPr>
        <w:pStyle w:val="null3"/>
        <w:ind w:firstLine="960"/>
      </w:pPr>
      <w:r>
        <w:rPr>
          <w:rFonts w:ascii="仿宋_GB2312" w:hAnsi="仿宋_GB2312" w:cs="仿宋_GB2312" w:eastAsia="仿宋_GB2312"/>
        </w:rPr>
        <w:t>详见附件：五、方案说明.docx</w:t>
      </w:r>
    </w:p>
    <w:p>
      <w:pPr>
        <w:pStyle w:val="null3"/>
        <w:ind w:firstLine="960"/>
      </w:pPr>
      <w:r>
        <w:rPr>
          <w:rFonts w:ascii="仿宋_GB2312" w:hAnsi="仿宋_GB2312" w:cs="仿宋_GB2312" w:eastAsia="仿宋_GB2312"/>
        </w:rPr>
        <w:t>详见附件：六、商务及技术响应说明.docx</w:t>
      </w:r>
    </w:p>
    <w:p>
      <w:pPr>
        <w:pStyle w:val="null3"/>
        <w:ind w:firstLine="960"/>
      </w:pPr>
      <w:r>
        <w:rPr>
          <w:rFonts w:ascii="仿宋_GB2312" w:hAnsi="仿宋_GB2312" w:cs="仿宋_GB2312" w:eastAsia="仿宋_GB2312"/>
        </w:rPr>
        <w:t>详见附件：七、供应商承诺书.docx</w:t>
      </w:r>
    </w:p>
    <w:p>
      <w:pPr>
        <w:pStyle w:val="null3"/>
        <w:ind w:firstLine="960"/>
      </w:pPr>
      <w:r>
        <w:rPr>
          <w:rFonts w:ascii="仿宋_GB2312" w:hAnsi="仿宋_GB2312" w:cs="仿宋_GB2312" w:eastAsia="仿宋_GB2312"/>
        </w:rPr>
        <w:t>详见附件：八、资格证明文件.docx</w:t>
      </w:r>
    </w:p>
    <w:p>
      <w:pPr>
        <w:pStyle w:val="null3"/>
        <w:ind w:firstLine="960"/>
      </w:pPr>
      <w:r>
        <w:rPr>
          <w:rFonts w:ascii="仿宋_GB2312" w:hAnsi="仿宋_GB2312" w:cs="仿宋_GB2312" w:eastAsia="仿宋_GB2312"/>
        </w:rPr>
        <w:t>详见附件：九、附表1-3人员表.docx</w:t>
      </w:r>
    </w:p>
    <w:p>
      <w:pPr>
        <w:pStyle w:val="null3"/>
        <w:ind w:firstLine="960"/>
      </w:pPr>
      <w:r>
        <w:rPr>
          <w:rFonts w:ascii="仿宋_GB2312" w:hAnsi="仿宋_GB2312" w:cs="仿宋_GB2312" w:eastAsia="仿宋_GB2312"/>
        </w:rPr>
        <w:t>详见附件：十、其他证明资料.docx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详见附件：十一、合同.docx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