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版本号：JZDCG-2025-04520251029001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印台区中医医院加强现代化中医医院财务管理(全面预算管理及绩效考核优化)项目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JZDCG-2025-045</w:t>
      </w:r>
      <w:r>
        <w:br/>
      </w:r>
      <w:r>
        <w:br/>
      </w:r>
      <w:r>
        <w:br/>
      </w:r>
    </w:p>
    <w:p>
      <w:pPr>
        <w:pStyle w:val="null3"/>
        <w:jc w:val="center"/>
        <w:outlineLvl w:val="2"/>
      </w:pPr>
      <w:r>
        <w:rPr>
          <w:rFonts w:ascii="仿宋_GB2312" w:hAnsi="仿宋_GB2312" w:cs="仿宋_GB2312" w:eastAsia="仿宋_GB2312"/>
          <w:sz w:val="28"/>
          <w:b/>
        </w:rPr>
        <w:t>铜川市印台区中医医院</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铜川市印台区中医医院</w:t>
      </w:r>
      <w:r>
        <w:rPr>
          <w:rFonts w:ascii="仿宋_GB2312" w:hAnsi="仿宋_GB2312" w:cs="仿宋_GB2312" w:eastAsia="仿宋_GB2312"/>
        </w:rPr>
        <w:t>委托，拟对</w:t>
      </w:r>
      <w:r>
        <w:rPr>
          <w:rFonts w:ascii="仿宋_GB2312" w:hAnsi="仿宋_GB2312" w:cs="仿宋_GB2312" w:eastAsia="仿宋_GB2312"/>
        </w:rPr>
        <w:t>印台区中医医院加强现代化中医医院财务管理(全面预算管理及绩效考核优化)项目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JZDCG-2025-045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印台区中医医院加强现代化中医医院财务管理(全面预算管理及绩效考核优化)项目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当前，公立医院收支规模不断扩大，医教研防等业务活动、预算资金资产成本管理等经济活动、人财物技术等资源配置活动愈加复杂，经济运行压力逐渐加大，亟需坚持公益性方向，加快补齐内部运营管理短板和弱项，向精细化管理要效益。为落实《国务院办公厅关于建立现代医院管理制度的指导意见》(国办发(2017)67号)有关要求，推动公立医院高质量发展，推进管理模式和运行方式加快转变，为进一步提高医院运营管理科学化、规范化、精细化、信息化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采购包1（印台区中医医院加强现代化中医医院财务管理(全面预算管理及绩效考核优化)项目）：属于专门面向中小企业采购。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4月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3、税收缴纳证明：自2025年4月1日以来已缴存的至少一个月的纳税证明或完税证明，纳税证明或完税证明上应有代收机构或税务机关的公章或业务专用章。依法免税的供应商应提供相关文件证明；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5、法定授权委托书：法定代表人参加磋商的，须提供法定代表人身份证明书；法定代表人授权他人参加磋商的，须提供法定代表人委托授权书；</w:t>
      </w:r>
    </w:p>
    <w:p>
      <w:pPr>
        <w:pStyle w:val="null3"/>
      </w:pPr>
      <w:r>
        <w:rPr>
          <w:rFonts w:ascii="仿宋_GB2312" w:hAnsi="仿宋_GB2312" w:cs="仿宋_GB2312" w:eastAsia="仿宋_GB2312"/>
        </w:rPr>
        <w:t>6、无重大违法记录：参加政府采购活动前三年内在经营活动中没有重大违法记录的声明函；</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15309192389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毕云、王军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计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铜川市印台区中医医院</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联系人：毕云、王军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当前，公立医院收支规模不断扩大，医教研防等业务活动、预算资金资产成本管理等经济活动、人财物技术等资源配置活动愈加复杂，经济运行压力逐渐加大，亟需坚持公益性方向，加快补齐内部运营管理短板和弱项，向精细化管理要效益。为落实《国务院办公厅关于建立现代医院管理制度的指导意见》(国办发(2017)67号)有关要求，推动公立医院高质量发展，推进管理模式和运行方式加快转变，为进一步提高医院运营管理科学化、规范化、精细化、信息化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全面预算管理及绩效考核优化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标的名称：全面预算管理及绩效考核优化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rPr>
              <w:t>服务要求：</w:t>
            </w:r>
          </w:p>
          <w:p>
            <w:pPr>
              <w:pStyle w:val="null3"/>
              <w:ind w:firstLine="420"/>
              <w:jc w:val="both"/>
            </w:pPr>
            <w:r>
              <w:rPr>
                <w:rFonts w:ascii="仿宋_GB2312" w:hAnsi="仿宋_GB2312" w:cs="仿宋_GB2312" w:eastAsia="仿宋_GB2312"/>
              </w:rPr>
              <w:t>1、针对绩效管理进行修订和编制，使绩效管理实现数据提取更准确、核算更高效、更科学，达到提高医院工作人员的积极性，促进医院卫生事业的发展；</w:t>
            </w:r>
          </w:p>
          <w:p>
            <w:pPr>
              <w:pStyle w:val="null3"/>
              <w:ind w:firstLine="420"/>
              <w:jc w:val="both"/>
            </w:pPr>
            <w:r>
              <w:rPr>
                <w:rFonts w:ascii="仿宋_GB2312" w:hAnsi="仿宋_GB2312" w:cs="仿宋_GB2312" w:eastAsia="仿宋_GB2312"/>
              </w:rPr>
              <w:t>2、建设全面预算管理，实现预算编制、预算执行、预算考核全流程，并完成一整个年度的预算工作。</w:t>
            </w:r>
          </w:p>
          <w:p>
            <w:pPr>
              <w:pStyle w:val="null3"/>
              <w:ind w:firstLine="420"/>
              <w:jc w:val="both"/>
            </w:pPr>
            <w:r>
              <w:rPr>
                <w:rFonts w:ascii="仿宋_GB2312" w:hAnsi="仿宋_GB2312" w:cs="仿宋_GB2312" w:eastAsia="仿宋_GB2312"/>
              </w:rPr>
              <w:t>服务内容：</w:t>
            </w:r>
          </w:p>
          <w:p>
            <w:pPr>
              <w:pStyle w:val="null3"/>
              <w:ind w:firstLine="420"/>
              <w:jc w:val="both"/>
            </w:pPr>
            <w:r>
              <w:rPr>
                <w:rFonts w:ascii="仿宋_GB2312" w:hAnsi="仿宋_GB2312" w:cs="仿宋_GB2312" w:eastAsia="仿宋_GB2312"/>
              </w:rPr>
              <w:t>1、分析、测算医院近三年的财务收支数据及近三年的绩效发放情况，提出对绩效管理调整的意见和建议以及新的绩效管理方案；</w:t>
            </w:r>
          </w:p>
          <w:p>
            <w:pPr>
              <w:pStyle w:val="null3"/>
              <w:ind w:firstLine="420"/>
              <w:jc w:val="both"/>
            </w:pPr>
            <w:r>
              <w:rPr>
                <w:rFonts w:ascii="仿宋_GB2312" w:hAnsi="仿宋_GB2312" w:cs="仿宋_GB2312" w:eastAsia="仿宋_GB2312"/>
              </w:rPr>
              <w:t>2、协助完成预算机构设置，协助制定中医医院全面预算管理制度和中医院全面预算管理办法，协助完成预算管理流程、完成一整个年度预算工作全过程。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按照项目具体实施内容，科学、合理的配置人员，确保服务按期完成。</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按照项目具体实施内容，科学、合理的配置设施设备，确保服务按期完成。</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铜川市印台区中医医院。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（1）合格，符合铜川市中医药传承创新发展示范试点项目工作的要求。（2）项目完成后，成交供应商应无条件配合采购人进行项目验收工作，并按照采购人要求提供验收资料。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待合同期满后，经采购人确认</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1、后续服务：在合同期满后1-2年内须继续提供其后续服务，做到随叫随到。 2、质量标准：合格，符合铜川市中医药传承创新发展示范试点项目工作的要求。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三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4月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自2025年4月1日以来已缴存的至少一个月的纳税证明或完税证明，纳税证明或完税证明上应有代收机构或税务机关的公章或业务专用章。依法免税的供应商应提供相关文件证明；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法定授权委托书</w:t>
            </w:r>
          </w:p>
        </w:tc>
        <w:tc>
          <w:tcPr>
            <w:tcW w:type="dxa" w:w="3322"/>
          </w:tcPr>
          <w:p>
            <w:pPr>
              <w:pStyle w:val="null3"/>
            </w:pPr>
            <w:r>
              <w:rPr>
                <w:rFonts w:ascii="仿宋_GB2312" w:hAnsi="仿宋_GB2312" w:cs="仿宋_GB2312" w:eastAsia="仿宋_GB2312"/>
              </w:rPr>
              <w:t>法定代表人参加磋商的，须提供法定代表人身份证明书；法定代表人授权他人参加磋商的，须提供法定代表人委托授权书；</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参加政府采购活动前三年内在经营活动中没有重大违法记录的声明函；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逐页盖章</w:t>
            </w:r>
          </w:p>
        </w:tc>
        <w:tc>
          <w:tcPr>
            <w:tcW w:type="dxa" w:w="1661"/>
          </w:tcPr>
          <w:p>
            <w:pPr>
              <w:pStyle w:val="null3"/>
            </w:pPr>
            <w:r>
              <w:rPr>
                <w:rFonts w:ascii="仿宋_GB2312" w:hAnsi="仿宋_GB2312" w:cs="仿宋_GB2312" w:eastAsia="仿宋_GB2312"/>
              </w:rPr>
              <w:t>类似项目业绩一览表 中小企业声明函 报价表 特殊资格审查证明材料 商务条款及其他要求响应偏离表 响应文件封面 残疾人福利性单位声明函 一般资格审查证明材料 服务方案 标的清单 响应函 服务内容及服务要求响应偏离表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类似项目业绩一览表 中小企业声明函 报价表 特殊资格审查证明材料 商务条款及其他要求响应偏离表 响应文件封面 残疾人福利性单位声明函 一般资格审查证明材料 服务方案 标的清单 响应函 服务内容及服务要求响应偏离表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磋商文件响应内容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类似项目业绩一览表 中小企业声明函 报价表 特殊资格审查证明材料 商务条款及其他要求响应偏离表 响应文件封面 残疾人福利性单位声明函 一般资格审查证明材料 服务方案 标的清单 响应函 服务内容及服务要求响应偏离表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项目理解、分析与提升</w:t>
            </w:r>
          </w:p>
        </w:tc>
        <w:tc>
          <w:tcPr>
            <w:tcW w:type="dxa" w:w="2492"/>
          </w:tcPr>
          <w:p>
            <w:pPr>
              <w:pStyle w:val="null3"/>
            </w:pPr>
            <w:r>
              <w:rPr>
                <w:rFonts w:ascii="仿宋_GB2312" w:hAnsi="仿宋_GB2312" w:cs="仿宋_GB2312" w:eastAsia="仿宋_GB2312"/>
              </w:rPr>
              <w:t>包含但不限于①对项目整体需求的理解及分析②项目提升目标。 1、整体需求理解全面，目标任务明确，项目整体服务计划与整体提升进度科学合理、可行性强得(8-10]分； 2、整体需求理解较全面，目标任务较明确，项目整体服务计划与整体提升进度较合理、可行性较强得(5-8]分； 3、整体需求理解一般，目标任务基本明确，项目整体服务计划与整体提升进度基本可行得(2-5]分； 4、对项目需求理解较差，目标任务不明确，项目整体服务计划与整体进度管控不合理、可行性差得(0-2]分； 5、未提供项目理解、分析与提升的不得分。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项目管理和质量控制措施</w:t>
            </w:r>
          </w:p>
        </w:tc>
        <w:tc>
          <w:tcPr>
            <w:tcW w:type="dxa" w:w="2492"/>
          </w:tcPr>
          <w:p>
            <w:pPr>
              <w:pStyle w:val="null3"/>
            </w:pPr>
            <w:r>
              <w:rPr>
                <w:rFonts w:ascii="仿宋_GB2312" w:hAnsi="仿宋_GB2312" w:cs="仿宋_GB2312" w:eastAsia="仿宋_GB2312"/>
              </w:rPr>
              <w:t>包括但不限于①质量目标②质量控制措施③质量承诺等内容。 1、质量目标明确，质量控制措施完善，质量承诺详细得(8-10]分； 2、质量目标较明确，质量控制措施较完善，质量承诺较详细得(5-8]分； 3、质量目标一般，质量控制措施基本完善，质量承诺一般得(2-5]分； 4、质量目标不明确，质量控制措施不完善，质量承诺不详细得(0-2]分； 5、未提供项目管理和质量控制措施的不得分。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包括但不限于①项目工作流程②提升项目工作进度安排③项目试运行评估等内容。 1、项目工作流程详细，提升项目工作进度安排明确、合理，可行、针对性强，试运行评估全面得(8-10]分； 2、项目工作流程较详细，提升项目工作进度安排较明确、合理，可行、针对性较强，试运行评估较全面得(5-8]分； 3、项目工作流程一般，提升项目工作进度安排基本合理、可行，试运行评估一般得(2-5]分； 4、项目工作流程较差，提升项目工作进度安排较差，试运行评估不全面、不可行得(0-2]分； 5、未提供工作流程、项目工作进度安排、试运行评估的不得分。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包括但不限于①数据安全保障②预算、绩效稳定性保障③安全管理机制与制度等。 1、数据安全保障、预算、绩效系统稳定性保障措施完善，安全管理机制与制度明确得(8-10]分； 2、数据安全保障、预算、绩效系统稳定性保障措施较完善，安全管理机制与制度较明确得(5-8]分； 3、数据安全保障、预算、绩效系统稳定性保障措施基本完善，安全管理机制与制度基本明确得(2-5]分； 4、数据安全保障、预算、绩效系统稳定性保障措施不完善，安全管理机制与制度不明确得(0-2]分； 5、未提供安全保障方案不得分。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方案中有针对医院业务特点、重点、难点及业务效果的体现</w:t>
            </w:r>
          </w:p>
        </w:tc>
        <w:tc>
          <w:tcPr>
            <w:tcW w:type="dxa" w:w="2492"/>
          </w:tcPr>
          <w:p>
            <w:pPr>
              <w:pStyle w:val="null3"/>
            </w:pPr>
            <w:r>
              <w:rPr>
                <w:rFonts w:ascii="仿宋_GB2312" w:hAnsi="仿宋_GB2312" w:cs="仿宋_GB2312" w:eastAsia="仿宋_GB2312"/>
              </w:rPr>
              <w:t>针对本项目履行期间的重难点分析及对策措施，包括但不限于①工作重点②工作难点③对策和措施等。 1、项目工作重点明确，工作难点分析到位全面，对策和措施清晰可行得(8-10]分； 2、项目工作重点较明确，工作难点分析比较到位比较全面，对策和措施较清晰可行得(5-8]分； 3、项目工作重点基本明确，工作难点分析基本到位基本全面，对策和措施清晰基本可行得(2-5]分； 4、项目工作重点不明确，工作难点分析不到位不全面，对策和措施不清晰不可行得(0-2]分； 5、未提供针对医院业务重难点及效果方案的不得分。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包括但不限于①项目管理组织机构②人员分工及职责等。 1、人员配备充足合理，管理组织机构合理，人员分工及职责明确清晰得(8-10]分； 2、人员配备较充足，管理组织机构较合理，人员分工及职责较明确较清晰得(5-8]分； 3、人员配备基本充足，管理组织机构基本合理，人员分工及职责基本明确基本清晰得(2-5]分； 4、人员配备不充足，管理组织机构不合理，人员分工及职责不明确不清晰得(0-2]分。 5、未提供人员配置不得分。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包括但不限于①培训计划②培训内容③培训方式等。 1、培训计划、培训内容全面，培训目标明确，培训方式得当、合理得(8-10]分； 2、培训计划、培训内容较全面，培训目标较明确，培训方式较得当、较合理得(5-8]分； 3、培训计划、培训内容基本全面，培训目标基本明确，培训方式基本合理得(2-5]分； 4、培训计划、培训内容不全面，培训目标不明确，培训方式不合理得(0-2]分； 5、未提供培训方案不得分。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包括但不限于①售后服务方案②售后服务人员③售后响应时间④售后问题处理解决方案等。 1、提供详细具体可行的售后服务方案，售后服务人员配置齐全，售后响应时间迅速，售后问题处理解决方案明确，优先保障能力强得(6-7]分； 2、售后服务方案较完整，售后服务人员配置较齐全，售后响应时间较及时，售后问题处理解决方案较完整，优先保障能力较强得(4-6]分； 3、售后服务方案一般，售后服务人员配置较少，售后响应时间一般，售后问题处理解决方案一般，优先保障能力一般得(2-4]分； 4、售后服务方案内容欠缺、空泛，售后服务人员配置不齐全，售后响应时间不及时，售后问题处理解决方案差，优先保障能力不强得(0-2]分； 5、未提供售后服务方案不得分。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提供自2022年1月1日以来承担过类似项目业绩，每提供1份加2分，最高计8分。 注：以合同签订时间为准，投标文件中附业绩合同复印件并加盖公章，未提供或不清晰导致无法识别的不予认可。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价格分统一采用低价优先法计算，既满足竞争性磋商文件要求且最终磋商报价最低的投标报价为磋商基准价，其价格分为满分。其他供应商的价格分统一按照下列公式计算：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详见附件：服务内容及服务要求响应偏离表</w:t>
      </w:r>
    </w:p>
    <w:p>
      <w:pPr>
        <w:pStyle w:val="null3"/>
        <w:ind w:firstLine="960"/>
      </w:pPr>
      <w:r>
        <w:rPr>
          <w:rFonts w:ascii="仿宋_GB2312" w:hAnsi="仿宋_GB2312" w:cs="仿宋_GB2312" w:eastAsia="仿宋_GB2312"/>
        </w:rPr>
        <w:t>详见附件：商务条款及其他要求响应偏离表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