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版本号：SXBH-ZFCG-2025-09820251113001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2025年基层农技推广体系改革与建设项目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SXBH-ZFCG-2025-098</w:t>
      </w:r>
      <w:r>
        <w:br/>
      </w:r>
      <w:r>
        <w:br/>
      </w:r>
      <w:r>
        <w:br/>
      </w:r>
    </w:p>
    <w:p>
      <w:pPr>
        <w:pStyle w:val="null3"/>
        <w:jc w:val="center"/>
        <w:outlineLvl w:val="2"/>
      </w:pPr>
      <w:r>
        <w:rPr>
          <w:rFonts w:ascii="仿宋_GB2312" w:hAnsi="仿宋_GB2312" w:cs="仿宋_GB2312" w:eastAsia="仿宋_GB2312"/>
          <w:sz w:val="28"/>
          <w:b/>
        </w:rPr>
        <w:t>铜川市印台区农业农村局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铜川市印台区农业农村局</w:t>
      </w:r>
      <w:r>
        <w:rPr>
          <w:rFonts w:ascii="仿宋_GB2312" w:hAnsi="仿宋_GB2312" w:cs="仿宋_GB2312" w:eastAsia="仿宋_GB2312"/>
        </w:rPr>
        <w:t>委托，拟对</w:t>
      </w:r>
      <w:r>
        <w:rPr>
          <w:rFonts w:ascii="仿宋_GB2312" w:hAnsi="仿宋_GB2312" w:cs="仿宋_GB2312" w:eastAsia="仿宋_GB2312"/>
        </w:rPr>
        <w:t>2025年基层农技推广体系改革与建设项目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2025年基层农技推广体系改革与建设项目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采购包1：为全区选派20名骨干农技员，包抓100名科技示范户的技术指导服务，并发放物化补贴；对全区40名农技干部进行培训；采购包2：建立2个农业科技示范基地等。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采购包1（基层农技推广及干部培训）：属于专门面向小微企业采购。</w:t>
      </w:r>
    </w:p>
    <w:p>
      <w:pPr>
        <w:pStyle w:val="null3"/>
      </w:pPr>
      <w:r>
        <w:rPr>
          <w:rFonts w:ascii="仿宋_GB2312" w:hAnsi="仿宋_GB2312" w:cs="仿宋_GB2312" w:eastAsia="仿宋_GB2312"/>
        </w:rPr>
        <w:t>采购包2（建立农业科技示范基地）：属于专门面向小微企业采购。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2、具有良好的商业信誉：供应商提供中国裁判文书网无行贿犯罪行为记录的查询结果，并附具有良好的商业信誉的声明函；</w:t>
      </w:r>
    </w:p>
    <w:p>
      <w:pPr>
        <w:pStyle w:val="null3"/>
      </w:pPr>
      <w:r>
        <w:rPr>
          <w:rFonts w:ascii="仿宋_GB2312" w:hAnsi="仿宋_GB2312" w:cs="仿宋_GB2312" w:eastAsia="仿宋_GB2312"/>
        </w:rPr>
        <w:t>3、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健全的财务会计制度：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w:t>
      </w:r>
    </w:p>
    <w:p>
      <w:pPr>
        <w:pStyle w:val="null3"/>
      </w:pPr>
      <w:r>
        <w:rPr>
          <w:rFonts w:ascii="仿宋_GB2312" w:hAnsi="仿宋_GB2312" w:cs="仿宋_GB2312" w:eastAsia="仿宋_GB2312"/>
        </w:rPr>
        <w:t>6、法定代表人证明书或法定代表人授权书：法定代表人参加磋商的，须提供法定代表人证明书及本人身份证复印件；法定代表人授权他 人参加投标的，须提供法定代表人授权委托书并出示授权代表的身份证复印件。凡是需要法定代表人签字盖章之处，非法人单位的负责人均参照执行；</w:t>
      </w:r>
    </w:p>
    <w:p>
      <w:pPr>
        <w:pStyle w:val="null3"/>
      </w:pPr>
      <w:r>
        <w:rPr>
          <w:rFonts w:ascii="仿宋_GB2312" w:hAnsi="仿宋_GB2312" w:cs="仿宋_GB2312" w:eastAsia="仿宋_GB2312"/>
        </w:rPr>
        <w:t>7、参加本次政府采购活动前3年内在经营活动中没有重大违法记录或被起诉：提供参加政府采购活动前三年内，在经营活动中没有重大违法记录或被起诉的书面声明并加盖公章；</w:t>
      </w:r>
    </w:p>
    <w:p>
      <w:pPr>
        <w:pStyle w:val="null3"/>
      </w:pPr>
      <w:r>
        <w:rPr>
          <w:rFonts w:ascii="仿宋_GB2312" w:hAnsi="仿宋_GB2312" w:cs="仿宋_GB2312" w:eastAsia="仿宋_GB2312"/>
        </w:rPr>
        <w:t>8、非联合体磋商：提供非联合体磋商的声明并加盖公章；</w:t>
      </w:r>
    </w:p>
    <w:p>
      <w:pPr>
        <w:pStyle w:val="null3"/>
      </w:pPr>
      <w:r>
        <w:rPr>
          <w:rFonts w:ascii="仿宋_GB2312" w:hAnsi="仿宋_GB2312" w:cs="仿宋_GB2312" w:eastAsia="仿宋_GB2312"/>
        </w:rPr>
        <w:t>9、无关联声明：单位负责人为同一人或存在直接控股、管理关系的不同供应商，不得参加本项目中同一合同项下的政府采购活动。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2、具有良好的商业信誉：供应商提供中国裁判文书网无行贿犯罪行为记录的查询结果，并附具有良好的商业信誉的声明函；</w:t>
      </w:r>
    </w:p>
    <w:p>
      <w:pPr>
        <w:pStyle w:val="null3"/>
      </w:pPr>
      <w:r>
        <w:rPr>
          <w:rFonts w:ascii="仿宋_GB2312" w:hAnsi="仿宋_GB2312" w:cs="仿宋_GB2312" w:eastAsia="仿宋_GB2312"/>
        </w:rPr>
        <w:t>3、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健全的财务会计制度：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w:t>
      </w:r>
    </w:p>
    <w:p>
      <w:pPr>
        <w:pStyle w:val="null3"/>
      </w:pPr>
      <w:r>
        <w:rPr>
          <w:rFonts w:ascii="仿宋_GB2312" w:hAnsi="仿宋_GB2312" w:cs="仿宋_GB2312" w:eastAsia="仿宋_GB2312"/>
        </w:rPr>
        <w:t>6、法定代表人证明书或法定代表人授权书：法定代表人参加磋商的，须提供法定代表人证明书及本人身份证复印件；法定代表人授权他 人参加投标的，须提供法定代表人授权委托书并出示授权代表的身份证复印件。凡是需要法定代表人签字盖章之处，非法人单位的负责人均参照执行；</w:t>
      </w:r>
    </w:p>
    <w:p>
      <w:pPr>
        <w:pStyle w:val="null3"/>
      </w:pPr>
      <w:r>
        <w:rPr>
          <w:rFonts w:ascii="仿宋_GB2312" w:hAnsi="仿宋_GB2312" w:cs="仿宋_GB2312" w:eastAsia="仿宋_GB2312"/>
        </w:rPr>
        <w:t>7、参加本次政府采购活动前3年内在经营活动中没有重大违法记录或被起诉：提供参加政府采购活动前三年内，在经营活动中没有重大违法记录或被起诉的书面声明并加盖公章；</w:t>
      </w:r>
    </w:p>
    <w:p>
      <w:pPr>
        <w:pStyle w:val="null3"/>
      </w:pPr>
      <w:r>
        <w:rPr>
          <w:rFonts w:ascii="仿宋_GB2312" w:hAnsi="仿宋_GB2312" w:cs="仿宋_GB2312" w:eastAsia="仿宋_GB2312"/>
        </w:rPr>
        <w:t>8、非联合体磋商：提供非联合体磋商的声明并加盖公章；</w:t>
      </w:r>
    </w:p>
    <w:p>
      <w:pPr>
        <w:pStyle w:val="null3"/>
      </w:pPr>
      <w:r>
        <w:rPr>
          <w:rFonts w:ascii="仿宋_GB2312" w:hAnsi="仿宋_GB2312" w:cs="仿宋_GB2312" w:eastAsia="仿宋_GB2312"/>
        </w:rPr>
        <w:t>9、无关联声明：单位负责人为同一人或存在直接控股、管理关系的不同供应商，不得参加本项目中同一合同项下的政府采购活动。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铜川市印台区同官路80号（印台区政府院内）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13468793467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铜川市印台区农业农村局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地址：陕西省铜川市印台区惠民佳苑8号楼2楼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采购包1：为全区选派20名骨干农技员，包抓100名科技示范户的技术指导服务，并发放物化补贴；对全区40名农技干部进行培训；采购包2：建立2个农业科技示范基地等。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基层农技推广及干部培训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建立农业科技示范基地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标的名称：基层农技推广及干部培训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1、选派20名骨干（基层）农技员对全区遴选的100名科技示范户进行包抓技术指导服务，并对100名科技示范户发放物化补贴；</w:t>
            </w:r>
            <w:r>
              <w:rPr>
                <w:rFonts w:ascii="仿宋_GB2312" w:hAnsi="仿宋_GB2312" w:cs="仿宋_GB2312" w:eastAsia="仿宋_GB2312"/>
                <w:sz w:val="22"/>
              </w:rPr>
              <w:t xml:space="preserve">     </w:t>
            </w:r>
          </w:p>
          <w:p>
            <w:pPr>
              <w:pStyle w:val="null3"/>
              <w:ind w:firstLine="480"/>
              <w:jc w:val="both"/>
            </w:pPr>
            <w:r>
              <w:rPr>
                <w:rFonts w:ascii="仿宋_GB2312" w:hAnsi="仿宋_GB2312" w:cs="仿宋_GB2312" w:eastAsia="仿宋_GB2312"/>
                <w:sz w:val="24"/>
              </w:rPr>
              <w:t xml:space="preserve">2、对全区40名农技干部开展区级农技员培训班，对30名在岗基层农技员开展知识更新； </w:t>
            </w:r>
          </w:p>
          <w:p>
            <w:pPr>
              <w:pStyle w:val="null3"/>
              <w:ind w:firstLine="480"/>
              <w:jc w:val="both"/>
            </w:pPr>
            <w:r>
              <w:rPr>
                <w:rFonts w:ascii="仿宋_GB2312" w:hAnsi="仿宋_GB2312" w:cs="仿宋_GB2312" w:eastAsia="仿宋_GB2312"/>
                <w:sz w:val="24"/>
              </w:rPr>
              <w:t>3、全年围绕主导品种和主推技术示范展示举办现场观摩、培训活动3次以上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4、围绕粮食单产提升和绿色技术，在全区7个涉农镇（街道）开展轮训班7轮次；</w:t>
            </w:r>
          </w:p>
          <w:p>
            <w:pPr>
              <w:pStyle w:val="null3"/>
            </w:pPr>
            <w:r>
              <w:rPr>
                <w:rFonts w:ascii="仿宋_GB2312" w:hAnsi="仿宋_GB2312" w:cs="仿宋_GB2312" w:eastAsia="仿宋_GB2312"/>
                <w:sz w:val="24"/>
              </w:rPr>
              <w:t xml:space="preserve">   5、推广10项以上先进适用主推技术，试验示范的苹果新品种10个以上，每个基地观摩学习3场（次）以上</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标的名称：建立农业科技示范基地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全区建立</w:t>
            </w:r>
            <w:r>
              <w:rPr>
                <w:rFonts w:ascii="仿宋_GB2312" w:hAnsi="仿宋_GB2312" w:cs="仿宋_GB2312" w:eastAsia="仿宋_GB2312"/>
                <w:sz w:val="24"/>
              </w:rPr>
              <w:t>2个</w:t>
            </w:r>
            <w:r>
              <w:rPr>
                <w:rFonts w:ascii="仿宋_GB2312" w:hAnsi="仿宋_GB2312" w:cs="仿宋_GB2312" w:eastAsia="仿宋_GB2312"/>
                <w:sz w:val="24"/>
              </w:rPr>
              <w:t>农业</w:t>
            </w:r>
            <w:r>
              <w:rPr>
                <w:rFonts w:ascii="仿宋_GB2312" w:hAnsi="仿宋_GB2312" w:cs="仿宋_GB2312" w:eastAsia="仿宋_GB2312"/>
                <w:sz w:val="24"/>
              </w:rPr>
              <w:t>科技示范基地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1、苹果</w:t>
            </w:r>
            <w:r>
              <w:rPr>
                <w:rFonts w:ascii="仿宋_GB2312" w:hAnsi="仿宋_GB2312" w:cs="仿宋_GB2312" w:eastAsia="仿宋_GB2312"/>
                <w:sz w:val="24"/>
              </w:rPr>
              <w:t>苗木繁育试验基地</w:t>
            </w:r>
            <w:r>
              <w:rPr>
                <w:rFonts w:ascii="仿宋_GB2312" w:hAnsi="仿宋_GB2312" w:cs="仿宋_GB2312" w:eastAsia="仿宋_GB2312"/>
                <w:sz w:val="24"/>
              </w:rPr>
              <w:t>。</w:t>
            </w:r>
            <w:r>
              <w:rPr>
                <w:rFonts w:ascii="仿宋_GB2312" w:hAnsi="仿宋_GB2312" w:cs="仿宋_GB2312" w:eastAsia="仿宋_GB2312"/>
                <w:sz w:val="24"/>
              </w:rPr>
              <w:t>围绕苹果</w:t>
            </w:r>
            <w:r>
              <w:rPr>
                <w:rFonts w:ascii="仿宋_GB2312" w:hAnsi="仿宋_GB2312" w:cs="仿宋_GB2312" w:eastAsia="仿宋_GB2312"/>
                <w:sz w:val="22"/>
              </w:rPr>
              <w:t>砧木</w:t>
            </w:r>
            <w:r>
              <w:rPr>
                <w:rFonts w:ascii="仿宋_GB2312" w:hAnsi="仿宋_GB2312" w:cs="仿宋_GB2312" w:eastAsia="仿宋_GB2312"/>
                <w:sz w:val="24"/>
              </w:rPr>
              <w:t>高位嫁接培育分枝大苗技术、轻简化栽培技术体系、苹果苗木</w:t>
            </w:r>
            <w:r>
              <w:rPr>
                <w:rFonts w:ascii="仿宋_GB2312" w:hAnsi="仿宋_GB2312" w:cs="仿宋_GB2312" w:eastAsia="仿宋_GB2312"/>
                <w:sz w:val="24"/>
              </w:rPr>
              <w:t>集成技术、脱毒采穗圃繁育建设、联动大棚温室育苗，开展试验示范的新技术5项以上。</w:t>
            </w:r>
          </w:p>
          <w:p>
            <w:pPr>
              <w:pStyle w:val="null3"/>
            </w:pPr>
            <w:r>
              <w:rPr>
                <w:rFonts w:ascii="仿宋_GB2312" w:hAnsi="仿宋_GB2312" w:cs="仿宋_GB2312" w:eastAsia="仿宋_GB2312"/>
                <w:sz w:val="24"/>
              </w:rPr>
              <w:t>2、</w:t>
            </w:r>
            <w:r>
              <w:rPr>
                <w:rFonts w:ascii="仿宋_GB2312" w:hAnsi="仿宋_GB2312" w:cs="仿宋_GB2312" w:eastAsia="仿宋_GB2312"/>
                <w:sz w:val="24"/>
              </w:rPr>
              <w:t>优质苹果繁育示范基地，该基地以秦脆、瑞雪、瑞香红、瑞阳、美味、维纳斯黄金等新品种生产为主，示范基地以配方施肥、科学除草、节水灌溉等集成化技术为主。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人员配置达到完全满足本项目相关需求。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设施设备达到完全满足本项目相关需求。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不得超过50日历天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不得超过50日历天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项目进度达到90%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项目进度达到90%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楼，联系人：刘瑞华，联系电话：17691172318）。3、若电子投标文件与纸质投标文件不一致的，以电子投标文件为准。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供应商提供中国裁判文书网无行贿犯罪行为记录的查询结果，并附具有良好的商业信誉的声明函；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法定代表人参加磋商的，须提供法定代表人证明书及本人身份证复印件；法定代表人授权他 人参加投标的，须提供法定代表人授权委托书并出示授权代表的身份证复印件。凡是需要法定代表人签字盖章之处，非法人单位的负责人均参照执行；</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提供参加政府采购活动前三年内，在经营活动中没有重大违法记录或被起诉的书面声明并加盖公章；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提供非联合体磋商的声明并加盖公章；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供应商提供中国裁判文书网无行贿犯罪行为记录的查询结果，并附具有良好的商业信誉的声明函；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表的，提供情况说明）附注等全部内容，成立时间至提交响应文件截止时间不足一年的可提供成立后任意时段的资产负债表)及财务情况说明书，或磋商前六个月内其基本存款账户开户银行出具的资信证明，或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法定代表人参加磋商的，须提供法定代表人证明书及本人身份证复印件；法定代表人授权他 人参加投标的，须提供法定代表人授权委托书并出示授权代表的身份证复印件。凡是需要法定代表人签字盖章之处，非法人单位的负责人均参照执行；</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提供参加政府采购活动前三年内，在经营活动中没有重大违法记录或被起诉的书面声明并加盖公章；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提供非联合体磋商的声明并加盖公章；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50日历天内完成服务</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法人授权书.docx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50日历天内完成服务</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经过有效性和符合性审核合格的供应商，其商务条款响应符合采购文件最低要求的计6分。优于采购文件要求的每项另加2分，最多加2分。不完全响应最低要求的计0分。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1、提供针对本项目的服务流程，计0.1-4分，不提供不计分； 2、提供针对本项目的完整的服务标准及效果评估，计0.1-4分，不提供不计分； 3、提供针对本项目的服务方案，计0.1-4分，不提供不计分； 4、提供针对本项目的服务计划、方式、内容及总结，计0.1-4分，不提供不计分； 5、提供针对本项目的人员上岗培训计划，计0.1-4分，不提供不计分；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提供针对本项目关于服务态度承诺，计[0.1-3]分； 提供针对本项目关于服务时效承诺，计[0.1-3]分； 提供针对本项目关于服务跟踪承诺，计[0.1-3]分。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（1）提供针对本项目的服务质量管理，计0.1-4分，不提供不计分； （2）提供针对本项目的服务质量保障措施，计0.1-4分，不提供不计分； （3）提供针对本项目的服务质量保证承诺，计0.1-4分，不提供不计分。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1、提供针对本项目的项目进度计划，计0.1-3分，不提供不计分； 2、提供针对本项目的项目进度保障措施，计0.1-3分，不提供不计分；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实力证明</w:t>
            </w:r>
          </w:p>
        </w:tc>
        <w:tc>
          <w:tcPr>
            <w:tcW w:type="dxa" w:w="2492"/>
          </w:tcPr>
          <w:p>
            <w:pPr>
              <w:pStyle w:val="null3"/>
            </w:pPr>
            <w:r>
              <w:rPr>
                <w:rFonts w:ascii="仿宋_GB2312" w:hAnsi="仿宋_GB2312" w:cs="仿宋_GB2312" w:eastAsia="仿宋_GB2312"/>
              </w:rPr>
              <w:t>提供已完成同类项目业绩，每提供一份计2分，最多计6分。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提供针对本项目可能发生的突发应急情况及相对应的应急预案措施，每提供一项可能发生的突发应急情况及相对应的应急预案措施计0.1-2分，最多计6分。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提供针对本项目的合理化建议计[0.1-3]分。 建议明显不合理、不可行或不提供不计分。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值×100 备注：磋商评审价=有效最后磋商报价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经过有效性和符合性审核合格的供应商，其商务条款响应符合采购文件最低要求的计6分。优于采购文件要求的每项另加2分，最多加2分。不完全响应最低要求的计0分。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1、提供针对本项目的服务流程，计0.1-4分，不提供不计分； 2、提供针对本项目的完整的服务标准及效果评估，计0.1-4分，不提供不计分； 3、提供针对本项目的服务方案，计0.1-4分，不提供不计分； 4、提供针对本项目的服务计划、方式、内容及总结，计0.1-4分，不提供不计分； 5、提供针对本项目的人员上岗培训计划，计0.1-4分，不提供不计分；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提供针对本项目关于服务态度承诺，计[0.1-3]分； 提供针对本项目关于服务时效承诺，计[0.1-3]分； 提供针对本项目关于服务跟踪承诺，计[0.1-3]分。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（1）提供针对本项目的服务质量管理，计0.1-4分，不提供不计分； （2）提供针对本项目的服务质量保障措施，计0.1-4分，不提供不计分； （3）提供针对本项目的服务质量保证承诺，计0.1-4分，不提供不计分。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1、提供针对本项目的项目进度计划，计0.1-3分，不提供不计分； 2、提供针对本项目的项目进度保障措施，计0.1-3分，不提供不计分；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提供针对本项目拟投入的专业服务团队，提供人员配置汇总表及相关证件材料：每提供一人证件材料计1分，最多计6分。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提供针对本项目可能发生的突发应急情况及相对应的应急预案措施，每提供一项可能发生的突发应急情况及相对应的应急预案措施计0.1-2分，最多计6分。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提供针对本项目的合理化建议计[0.1-3]分。 建议明显不合理、不可行或不提供不计分。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值×100 备注：磋商评审价=有效最后磋商报价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