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版本号：SXDY-2025-35320251117001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铜川市印台区漆水河水源地保护及上游水生态修复项目勘察设计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SXDY-2025-353</w:t>
      </w:r>
      <w:r>
        <w:br/>
      </w:r>
      <w:r>
        <w:br/>
      </w:r>
      <w:r>
        <w:br/>
      </w:r>
    </w:p>
    <w:p>
      <w:pPr>
        <w:pStyle w:val="null3"/>
        <w:jc w:val="center"/>
        <w:outlineLvl w:val="2"/>
      </w:pPr>
      <w:r>
        <w:rPr>
          <w:rFonts w:ascii="仿宋_GB2312" w:hAnsi="仿宋_GB2312" w:cs="仿宋_GB2312" w:eastAsia="仿宋_GB2312"/>
          <w:sz w:val="28"/>
          <w:b/>
        </w:rPr>
        <w:t>铜川市生态环境局印台分局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铜川市生态环境局印台分局</w:t>
      </w:r>
      <w:r>
        <w:rPr>
          <w:rFonts w:ascii="仿宋_GB2312" w:hAnsi="仿宋_GB2312" w:cs="仿宋_GB2312" w:eastAsia="仿宋_GB2312"/>
        </w:rPr>
        <w:t>委托，拟对</w:t>
      </w:r>
      <w:r>
        <w:rPr>
          <w:rFonts w:ascii="仿宋_GB2312" w:hAnsi="仿宋_GB2312" w:cs="仿宋_GB2312" w:eastAsia="仿宋_GB2312"/>
        </w:rPr>
        <w:t>铜川市印台区漆水河水源地保护及上游水生态修复项目勘察设计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SXDY-2025-353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铜川市印台区漆水河水源地保护及上游水生态修复项目勘察设计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铜川市印台区漆水河水源地保护及上游水生态修复项目勘察设计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采购包1（铜川市印台区漆水河水源地保护及上游水生态修复项目勘察设计）：属于专门面向中小企业采购。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完整的财务审计报告（成立时间至提交响应文件截止时间不足一年的可提供成立后任意时段的资产负债表），或磋商时间前六个月内其基本存款账户开户银行出具的资信证明。其他组织和自然人提供银行出具的资信证明；</w:t>
      </w:r>
    </w:p>
    <w:p>
      <w:pPr>
        <w:pStyle w:val="null3"/>
      </w:pPr>
      <w:r>
        <w:rPr>
          <w:rFonts w:ascii="仿宋_GB2312" w:hAnsi="仿宋_GB2312" w:cs="仿宋_GB2312" w:eastAsia="仿宋_GB2312"/>
        </w:rPr>
        <w:t>3、税收缴纳证明：提供2025年度至今已缴纳的至少一个月的纳税证明或完税证明，依法免税的单位应提供相关证明材料；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4、社会保障资金缴纳证明：提供2025年度至今已缴存的至少一个月的社会保障资金缴存单据或社保机构开具的社会保险参保缴费情况证明，依法不需要缴纳社会保障资金的单位应提供相关证明材料；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及书面声明：参加本次政府采购活动前三年内在经营活动中没有重大违纪，以及“信用中国”网站(www.creditchina.gov.cn)未被列入失信被执行人、重大税收违法案件当事人名单、中国政府采购网(www.ccgp.gov.cn)政府采购严重违法失信行为记录名单的书面声明，并提供网站截图；</w:t>
      </w:r>
    </w:p>
    <w:p>
      <w:pPr>
        <w:pStyle w:val="null3"/>
      </w:pPr>
      <w:r>
        <w:rPr>
          <w:rFonts w:ascii="仿宋_GB2312" w:hAnsi="仿宋_GB2312" w:cs="仿宋_GB2312" w:eastAsia="仿宋_GB2312"/>
        </w:rPr>
        <w:t>6、履约能力：提供具有履行合同所必需的设备和专业技术能力的承诺函；</w:t>
      </w:r>
    </w:p>
    <w:p>
      <w:pPr>
        <w:pStyle w:val="null3"/>
      </w:pPr>
      <w:r>
        <w:rPr>
          <w:rFonts w:ascii="仿宋_GB2312" w:hAnsi="仿宋_GB2312" w:cs="仿宋_GB2312" w:eastAsia="仿宋_GB2312"/>
        </w:rPr>
        <w:t>7、法定代表人身份证明或法定代表人授权委托书：法定代表人授权委托书及被授权委托人身份证（法定代表人参加磋商只须提供法定代表人身份证）</w:t>
      </w:r>
    </w:p>
    <w:p>
      <w:pPr>
        <w:pStyle w:val="null3"/>
      </w:pPr>
      <w:r>
        <w:rPr>
          <w:rFonts w:ascii="仿宋_GB2312" w:hAnsi="仿宋_GB2312" w:cs="仿宋_GB2312" w:eastAsia="仿宋_GB2312"/>
        </w:rPr>
        <w:t>8、供应商资质：供应商须同时具备：1.工程勘察综合资质甲级，或工程勘察专业（岩土工程）丙级及以上资质；2.工程设计综合资质甲级，或工程设计水利行业乙级及以上资质，或工程设计专项资质（环境工程-水污染治理工程）乙级及以上资质，或工程设计水利行业（河道治理）丙级及以上资质；</w:t>
      </w:r>
    </w:p>
    <w:p>
      <w:pPr>
        <w:pStyle w:val="null3"/>
      </w:pPr>
      <w:r>
        <w:rPr>
          <w:rFonts w:ascii="仿宋_GB2312" w:hAnsi="仿宋_GB2312" w:cs="仿宋_GB2312" w:eastAsia="仿宋_GB2312"/>
        </w:rPr>
        <w:t>9、关联关系：单位负责人为同一人或者存在直接控股、管理关系的不同供应商，不得参加本次采购活动。</w:t>
      </w:r>
    </w:p>
    <w:p>
      <w:pPr>
        <w:pStyle w:val="null3"/>
      </w:pPr>
      <w:r>
        <w:rPr>
          <w:rFonts w:ascii="仿宋_GB2312" w:hAnsi="仿宋_GB2312" w:cs="仿宋_GB2312" w:eastAsia="仿宋_GB2312"/>
        </w:rPr>
        <w:t>10、联合体协议：供应商为联合体投标的应提供联合体协议；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铜川市生态环境局印台分局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铜川市印台区城关南路50号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15309190975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西安市雁塔区西三爻村长丰园小区Ⅰ区1幢C单元11层1110室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张建龙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13991252515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铜川市生态环境局印台分局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铜川市生态环境局印台分局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铜川市生态环境局印台分局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1.本项目由采购人及相关部门按法定规划要求定期对项目进行阶段性验收。 2.验收标准：编制内容和深度应符合相关规范和标准的要求。 3.验收合格后，填写验收单，双方签字生效。 4.验收依据： 1）合同文本； 2）磋商文件及澄清函、投标文件； 3）国家和行业制定的相应标准和规范； 4）验收清单。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联系人：张建龙</w:t>
      </w:r>
    </w:p>
    <w:p>
      <w:pPr>
        <w:pStyle w:val="null3"/>
      </w:pPr>
      <w:r>
        <w:rPr>
          <w:rFonts w:ascii="仿宋_GB2312" w:hAnsi="仿宋_GB2312" w:cs="仿宋_GB2312" w:eastAsia="仿宋_GB2312"/>
        </w:rPr>
        <w:t>联系电话：13991252515</w:t>
      </w:r>
    </w:p>
    <w:p>
      <w:pPr>
        <w:pStyle w:val="null3"/>
      </w:pPr>
      <w:r>
        <w:rPr>
          <w:rFonts w:ascii="仿宋_GB2312" w:hAnsi="仿宋_GB2312" w:cs="仿宋_GB2312" w:eastAsia="仿宋_GB2312"/>
        </w:rPr>
        <w:t>地址：西安市雁塔区西三爻村长丰园小区Ⅰ区1幢C单元11层1110室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水源地保护区标志牌(警示牌)设置、生态护岸、生态沟渠工程，1座应急闸改造和8个应急池及导流管建设等应急防护工程。工程项目的测量、现场勘察、初步设计（含概算）、施工图设计等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漆水河水源地保护及上游水生态修复项目勘察设计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标的名称：漆水河水源地保护及上游水生态修复项目勘察设计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采购内容：</w:t>
            </w:r>
          </w:p>
          <w:p>
            <w:pPr>
              <w:pStyle w:val="null3"/>
              <w:ind w:firstLine="480"/>
              <w:jc w:val="left"/>
            </w:pPr>
            <w:r>
              <w:rPr>
                <w:rFonts w:ascii="仿宋_GB2312" w:hAnsi="仿宋_GB2312" w:cs="仿宋_GB2312" w:eastAsia="仿宋_GB2312"/>
                <w:sz w:val="24"/>
              </w:rPr>
              <w:t>水源地保护区标志牌</w:t>
            </w:r>
            <w:r>
              <w:rPr>
                <w:rFonts w:ascii="仿宋_GB2312" w:hAnsi="仿宋_GB2312" w:cs="仿宋_GB2312" w:eastAsia="仿宋_GB2312"/>
                <w:sz w:val="24"/>
              </w:rPr>
              <w:t>(</w:t>
            </w:r>
            <w:r>
              <w:rPr>
                <w:rFonts w:ascii="仿宋_GB2312" w:hAnsi="仿宋_GB2312" w:cs="仿宋_GB2312" w:eastAsia="仿宋_GB2312"/>
                <w:sz w:val="24"/>
              </w:rPr>
              <w:t>警示牌</w:t>
            </w:r>
            <w:r>
              <w:rPr>
                <w:rFonts w:ascii="仿宋_GB2312" w:hAnsi="仿宋_GB2312" w:cs="仿宋_GB2312" w:eastAsia="仿宋_GB2312"/>
                <w:sz w:val="24"/>
              </w:rPr>
              <w:t>)</w:t>
            </w:r>
            <w:r>
              <w:rPr>
                <w:rFonts w:ascii="仿宋_GB2312" w:hAnsi="仿宋_GB2312" w:cs="仿宋_GB2312" w:eastAsia="仿宋_GB2312"/>
                <w:sz w:val="24"/>
              </w:rPr>
              <w:t>设置、生态护岸、生态沟渠工程，</w:t>
            </w:r>
            <w:r>
              <w:rPr>
                <w:rFonts w:ascii="仿宋_GB2312" w:hAnsi="仿宋_GB2312" w:cs="仿宋_GB2312" w:eastAsia="仿宋_GB2312"/>
                <w:sz w:val="24"/>
              </w:rPr>
              <w:t>1</w:t>
            </w:r>
            <w:r>
              <w:rPr>
                <w:rFonts w:ascii="仿宋_GB2312" w:hAnsi="仿宋_GB2312" w:cs="仿宋_GB2312" w:eastAsia="仿宋_GB2312"/>
                <w:sz w:val="24"/>
              </w:rPr>
              <w:t>座应急闸改造和</w:t>
            </w:r>
            <w:r>
              <w:rPr>
                <w:rFonts w:ascii="仿宋_GB2312" w:hAnsi="仿宋_GB2312" w:cs="仿宋_GB2312" w:eastAsia="仿宋_GB2312"/>
                <w:sz w:val="24"/>
              </w:rPr>
              <w:t>8</w:t>
            </w:r>
            <w:r>
              <w:rPr>
                <w:rFonts w:ascii="仿宋_GB2312" w:hAnsi="仿宋_GB2312" w:cs="仿宋_GB2312" w:eastAsia="仿宋_GB2312"/>
                <w:sz w:val="24"/>
              </w:rPr>
              <w:t>个应急池及导流管建设等应急防护工程。工程项目的测量、现场勘察、初步设计、施工图设计等</w:t>
            </w:r>
          </w:p>
          <w:p>
            <w:pPr>
              <w:pStyle w:val="null3"/>
              <w:jc w:val="left"/>
            </w:pPr>
            <w:r>
              <w:rPr>
                <w:rFonts w:ascii="仿宋_GB2312" w:hAnsi="仿宋_GB2312" w:cs="仿宋_GB2312" w:eastAsia="仿宋_GB2312"/>
                <w:sz w:val="24"/>
              </w:rPr>
              <w:t>2.勘察设计依据：</w:t>
            </w:r>
          </w:p>
          <w:p>
            <w:pPr>
              <w:pStyle w:val="null3"/>
              <w:ind w:firstLine="480"/>
              <w:jc w:val="left"/>
            </w:pPr>
            <w:r>
              <w:rPr>
                <w:rFonts w:ascii="仿宋_GB2312" w:hAnsi="仿宋_GB2312" w:cs="仿宋_GB2312" w:eastAsia="仿宋_GB2312"/>
                <w:sz w:val="24"/>
              </w:rPr>
              <w:t>法律法规：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1）《中华人民共和国宪法》；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2）《中华人民共和国水法》（2016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3）《中华人民共和国水污染防治法》（2018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4）《中华人民共和国环境保护法》（2014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5）《中华人民共和国防洪法》（2016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6）《中华人民共和国水土保持法》（2011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7）《中华人民共和国森林法》（2019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8）《中华人民共和国湿地保护法》（2022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9）《城镇排水与污水处理条例》（2014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10）《水功能区监督管理办法》（2017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11）《入河排污口监督管理办法》（2015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12）《中华人民共和国河道管理条例》（2017 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13）《河道管理范围内建设项目管理的有关规定》；</w:t>
            </w:r>
          </w:p>
          <w:p>
            <w:pPr>
              <w:pStyle w:val="null3"/>
              <w:jc w:val="left"/>
            </w:pPr>
            <w:r>
              <w:rPr>
                <w:rFonts w:ascii="仿宋_GB2312" w:hAnsi="仿宋_GB2312" w:cs="仿宋_GB2312" w:eastAsia="仿宋_GB2312"/>
                <w:sz w:val="24"/>
              </w:rPr>
              <w:t>3.规范规程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1）《地表水环境环境质量标准》（GB3838-2002）；</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2）《防洪标准》（GB50201-2014）；</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3）《堤防工程设计规范》（GB50286-2013）；</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4）《水利水电工程初步设计报告编制规程》（SL619-2021）；</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5）《城市防洪工程设计规范》（GB/T50805-2012）；</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6）《水工挡土墙设计规范》（SL379-2007）；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7）《水利水电工程边坡设计规范》（SL386-2007）；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8）《中国地震动参数区划图》(GB18306-2015)；</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9）《建筑抗震设计规范》(GB50011-2010)2016年版；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10）《建筑工程抗震设防分类标准》(GB50223-2008)；</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11）《镇规划标准》（GB50188-2007）；</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12）《水污染防治工作方案编制技术指南》（环办函〔2015〕 1232 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13）《水体达标方案编制技术指南》（环办函〔2015〕1711号）；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14）《江河湖泊生态环境保护系列技术指南》（环办〔2014〕 111 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15）《建筑工程地质勘探与取样技术规程》(JGJ/T87-2012)；</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16）《岩土工程勘察安全标准》(GB/T50585-2019)</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17）《工程勘察通用规范》((GB55017-2021)。</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成果文件：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1）成果文件的组成： 测量及勘察报告、初步设计（包含设计说明、 图纸、初步设计概算）、施工图设计（施工图设计图纸）等。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2）成果文件的深度：达到国家、行业及地方现行有关技术标准与规范的要求。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3）成果文件的格式要求：文字内容可采用PDF格式文件，设计图形文件采用PDF格式文件，全部设计成果均应制作成计算机文件，刻入U盘。</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成果文件的份数要求：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1）提交测量成果电子版1份；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2）提交岩土工程勘察报告8份，电子版1份；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3）提交初步设计成果文件8份（包括初步设计说明书、初步设计概算及初步设计图纸），电子版1份；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4）提供经具备资质的施工图审查机构审核通过后的施工图设计图纸（蓝图）8份，电子版1份；</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甲方办理工程建设前期手续所需的其他成果文件资料。</w:t>
            </w:r>
          </w:p>
          <w:p>
            <w:pPr>
              <w:pStyle w:val="null3"/>
              <w:ind w:firstLine="480"/>
              <w:jc w:val="left"/>
            </w:pPr>
            <w:r>
              <w:rPr>
                <w:rFonts w:ascii="仿宋_GB2312" w:hAnsi="仿宋_GB2312" w:cs="仿宋_GB2312" w:eastAsia="仿宋_GB2312"/>
                <w:sz w:val="24"/>
              </w:rPr>
              <w:t>总计纸质版图纸</w:t>
            </w:r>
            <w:r>
              <w:rPr>
                <w:rFonts w:ascii="仿宋_GB2312" w:hAnsi="仿宋_GB2312" w:cs="仿宋_GB2312" w:eastAsia="仿宋_GB2312"/>
                <w:sz w:val="24"/>
              </w:rPr>
              <w:t>8份，电子版文件5份（PDF格式, 勘察，测量，设计说明书，概算，图纸）。</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成果文件的载体要求：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1）纸质版的要求：标准图纸打印。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2）电子版的要求：U盘。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执行国家现行行业验收规范，质量达到合格标准，并通过相关部门的审核验收。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乙方向甲方交付编制初步成果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最终成果提交通过评审后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1.项目名称：铜川市印台区漆水河水源地保护及上游水生态修复项目勘察设计 2.服务期：自合同签订之日起一年， 3.服务地点：采购人指定地点 。 4.付款方式：（1）合同签订后七个工作日内，甲方向乙方支付合同总价款的50%；（2）乙方向甲方交付编制初步成果七个工作日内，甲方向乙方支付合同总价款的40%；（3）最终成果提交通过评审后七个工作日内，甲方向乙方支付合同总价款的10%。（4）在每次支付费用前，乙方应提交甲方等额发票。 5.验 收：（1）本项目由采购人及相关部门按法定规划要求定期对项目进行阶段性验收。 （2.）验收标准：编制内容和深度应符合相关规范和标准的要求。 （3）.验收合格后，填写验收单，双方签字生效。 （4）.验收依据： 合同文本；磋商文件及澄清函、投标文件；国家和行业制定的相应标准和规范；验收清单。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提交响应文件截止时间不足一年的可提供成立后任意时段的资产负债表），或磋商时间前六个月内其基本存款账户开户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信用查询及书面声明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信用中国”网站(www.creditchina.gov.cn)未被列入失信被执行人、重大税收违法案件当事人名单、中国政府采购网(www.ccgp.gov.cn)政府采购严重违法失信行为记录名单的书面声明，并提供网站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法定代表人授权委托书及被授权委托人身份证（法定代表人参加磋商只须提供法定代表人身份证）</w:t>
            </w:r>
          </w:p>
        </w:tc>
        <w:tc>
          <w:tcPr>
            <w:tcW w:type="dxa" w:w="1661"/>
          </w:tcPr>
          <w:p>
            <w:pPr>
              <w:pStyle w:val="null3"/>
            </w:pPr>
            <w:r>
              <w:rPr>
                <w:rFonts w:ascii="仿宋_GB2312" w:hAnsi="仿宋_GB2312" w:cs="仿宋_GB2312" w:eastAsia="仿宋_GB2312"/>
              </w:rPr>
              <w:t>法定代表人证明书与法定代表人授权书.docx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同时具备：1.工程勘察综合资质甲级，或工程勘察专业（岩土工程）丙级及以上资质；2.工程设计综合资质甲级，或工程设计水利行业乙级及以上资质，或工程设计专项资质（环境工程-水污染治理工程）乙级及以上资质，或工程设计水利行业（河道治理）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联合体协议</w:t>
            </w:r>
          </w:p>
        </w:tc>
        <w:tc>
          <w:tcPr>
            <w:tcW w:type="dxa" w:w="3322"/>
          </w:tcPr>
          <w:p>
            <w:pPr>
              <w:pStyle w:val="null3"/>
            </w:pPr>
            <w:r>
              <w:rPr>
                <w:rFonts w:ascii="仿宋_GB2312" w:hAnsi="仿宋_GB2312" w:cs="仿宋_GB2312" w:eastAsia="仿宋_GB2312"/>
              </w:rPr>
              <w:t>供应商为联合体投标的应提供联合体协议；</w:t>
            </w:r>
          </w:p>
        </w:tc>
        <w:tc>
          <w:tcPr>
            <w:tcW w:type="dxa" w:w="1661"/>
          </w:tcPr>
          <w:p>
            <w:pPr>
              <w:pStyle w:val="null3"/>
            </w:pPr>
            <w:r>
              <w:rPr>
                <w:rFonts w:ascii="仿宋_GB2312" w:hAnsi="仿宋_GB2312" w:cs="仿宋_GB2312" w:eastAsia="仿宋_GB2312"/>
              </w:rPr>
              <w:t>联合体协议.docx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了解勘察设计工作主要任务，把握工作重点与难点。 1.方案内容科学合理，思路清晰，能够把握本项目的实际需求以及重点、难点的，得7-10分； 2.方案内容较合理，能够基本满足本项目的实际需求的，得4-7分； 3.方案内容有待进一步提升完善的，得1-4分； 4.未提供相关内容的，不得分。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依据国家、省、铜川市相关法律法规、标准规范制度编制实施方案。 1.方案内容科学合理，思路清晰、规范标准的，得7-10分； 2.方案内容较合理，基本合理规范，得4-7分； 3.方案内容有待进一步提升完善的，得1-4分； 4.未提供相关内容的，不得分。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质量保障措施方案从工作质量、进度及服务三方面提出保障要求。 1.方案内容细致详实、切实可行，具体措施合理，得7-10分； 2.方案内容较合理，基本符合规范要求，得4-7分； 3.方案内容基本可行，但需进一步优化，得1-4分； 4.未提供相关内容的，不得分。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制定详细的进度计划及保障措施，包括进度目标、进度计划、安排、保障措施； 1.进度计划合理、保障措施全面、内容详细，安排合理，符合项目实际需求，能够保证在规定时间内如期交付并通过相关评审验收，得7-10分； 2.内容基本全面，基本可行，得4-7分； 3.非专门针对本项目或不适用本项目特性的情形、内容严重欠缺或缺少关键节点、套用其他项目方案、内容前后矛盾、不利于项目实施、或不合理，不可能实现的，得1-4分； 4.未提供相关内容的，不得分。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安全保证措施 1.安全保障措施全面、详细、合理可行，得4-7分； 2.安全保障措施简略或考虑欠缺或不合理，得1-4分； 3.未提供相关内容的，不得分。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拟投入的设备 1.勘察设备型号、数量配置合理，满足项目需求，得4-7分； 2. 配置不合理或欠缺，得1-4分； 3.未提供相关内容的，不得分。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投标人提供的后续服务方案，包括后续服务内容与范围等技术支持方案；后续服务保障措施；服务响应时间、服务电话和服务人员名单等。 1.方案详细、合理，有利于采购人获得更好服务，得4-7分； 2.方案内容欠缺或缺少关键点、内容前后矛盾、不利于项目实施、或不合理，得1-4分。 3.未提供相关内容的，不得分。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制定详细的保密计划及保障措施； 1.计划及措施全面合理、内容详细，符合项目实际需求，能有效保障信息保密不外泄，得4-7分； 2.内容基本全面或存在欠缺，需进一步优化，得1-4分； 3.未提供相关内容的，不得分。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项目组资历</w:t>
            </w:r>
          </w:p>
        </w:tc>
        <w:tc>
          <w:tcPr>
            <w:tcW w:type="dxa" w:w="2492"/>
          </w:tcPr>
          <w:p>
            <w:pPr>
              <w:pStyle w:val="null3"/>
            </w:pPr>
            <w:r>
              <w:rPr>
                <w:rFonts w:ascii="仿宋_GB2312" w:hAnsi="仿宋_GB2312" w:cs="仿宋_GB2312" w:eastAsia="仿宋_GB2312"/>
              </w:rPr>
              <w:t>1.项目负责人具备相关专业高级及以上职称证书得2分；中级职称证书得1分；其他情况不得分。 2. 除项目负责人外，其他人员具有中级或中级以上职称证书的每人加1分，最多5分. 评审依据：以加盖公章的证书复印件或扫描件为准。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拟派项目管理人员情况表.docx</w:t>
            </w:r>
          </w:p>
          <w:p>
            <w:pPr>
              <w:pStyle w:val="null3"/>
            </w:pPr>
            <w:r>
              <w:rPr>
                <w:rFonts w:ascii="仿宋_GB2312" w:hAnsi="仿宋_GB2312" w:cs="仿宋_GB2312" w:eastAsia="仿宋_GB2312"/>
              </w:rPr>
              <w:t>拟派项目负责人情况表.docx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供应商提供近三年（自合同签订日期起至公告发布日止）的类似项目业绩合同扫描件（需包含盖章页、内容页、金额页等关键信息），每提供1份得5分，最高10分。未提供不得分。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近年完成同类项目情况表.docx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 3.磋商报价得分=（磋商基准价/最终磋商报价 ）×15的公式计算得分。 4.磋商报价不完整的，不进入评标标准价的计算，本项得0分。 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详见附件：联合体协议.docx</w:t>
      </w:r>
    </w:p>
    <w:p>
      <w:pPr>
        <w:pStyle w:val="null3"/>
        <w:ind w:firstLine="960"/>
      </w:pPr>
      <w:r>
        <w:rPr>
          <w:rFonts w:ascii="仿宋_GB2312" w:hAnsi="仿宋_GB2312" w:cs="仿宋_GB2312" w:eastAsia="仿宋_GB2312"/>
        </w:rPr>
        <w:t>详见附件：近年完成同类项目情况表.docx</w:t>
      </w:r>
    </w:p>
    <w:p>
      <w:pPr>
        <w:pStyle w:val="null3"/>
        <w:ind w:firstLine="960"/>
      </w:pPr>
      <w:r>
        <w:rPr>
          <w:rFonts w:ascii="仿宋_GB2312" w:hAnsi="仿宋_GB2312" w:cs="仿宋_GB2312" w:eastAsia="仿宋_GB2312"/>
        </w:rPr>
        <w:t>详见附件：拟派项目负责人情况表.docx</w:t>
      </w:r>
    </w:p>
    <w:p>
      <w:pPr>
        <w:pStyle w:val="null3"/>
        <w:ind w:firstLine="960"/>
      </w:pPr>
      <w:r>
        <w:rPr>
          <w:rFonts w:ascii="仿宋_GB2312" w:hAnsi="仿宋_GB2312" w:cs="仿宋_GB2312" w:eastAsia="仿宋_GB2312"/>
        </w:rPr>
        <w:t>详见附件：拟派项目管理人员情况表.docx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