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版本号：SXBH-ZFCG-2025-12420251113001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印台区果库配套设备建设项目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SXBH-ZFCG-2025-124</w:t>
      </w:r>
      <w:r>
        <w:br/>
      </w:r>
      <w:r>
        <w:br/>
      </w:r>
      <w:r>
        <w:br/>
      </w:r>
    </w:p>
    <w:p>
      <w:pPr>
        <w:pStyle w:val="null3"/>
        <w:jc w:val="center"/>
        <w:outlineLvl w:val="2"/>
      </w:pPr>
      <w:r>
        <w:rPr>
          <w:rFonts w:ascii="仿宋_GB2312" w:hAnsi="仿宋_GB2312" w:cs="仿宋_GB2312" w:eastAsia="仿宋_GB2312"/>
          <w:sz w:val="28"/>
          <w:b/>
        </w:rPr>
        <w:t>铜川市印台区果业发展中心</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铜川市印台区果业发展中心</w:t>
      </w:r>
      <w:r>
        <w:rPr>
          <w:rFonts w:ascii="仿宋_GB2312" w:hAnsi="仿宋_GB2312" w:cs="仿宋_GB2312" w:eastAsia="仿宋_GB2312"/>
        </w:rPr>
        <w:t>委托，拟对</w:t>
      </w:r>
      <w:r>
        <w:rPr>
          <w:rFonts w:ascii="仿宋_GB2312" w:hAnsi="仿宋_GB2312" w:cs="仿宋_GB2312" w:eastAsia="仿宋_GB2312"/>
        </w:rPr>
        <w:t>印台区果库配套设备建设项目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印台区果库配套设备建设项目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采购印台区果库配套设备：仓储铁框、周转框等。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采购包1（印台区果库配套设备建设项目）：属于专门面向小微企业采购。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2、具有良好的商业信誉：提供中国裁判文书网无行贿犯罪行为记录的查询结果，并附具有良好的商业信誉的声明函</w:t>
      </w:r>
    </w:p>
    <w:p>
      <w:pPr>
        <w:pStyle w:val="null3"/>
      </w:pPr>
      <w:r>
        <w:rPr>
          <w:rFonts w:ascii="仿宋_GB2312" w:hAnsi="仿宋_GB2312" w:cs="仿宋_GB2312" w:eastAsia="仿宋_GB2312"/>
        </w:rPr>
        <w:t>3、有依法缴纳税收的良好记录：提供投标截止日前近一年内已缴纳的至少一个月的纳税证明或完税证明，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5、具有履行合同所必需的设备和专业技术能力：提供具有履行合同所必需的设备和专业技术能力的书面声明</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7、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w:t>
      </w:r>
    </w:p>
    <w:p>
      <w:pPr>
        <w:pStyle w:val="null3"/>
      </w:pPr>
      <w:r>
        <w:rPr>
          <w:rFonts w:ascii="仿宋_GB2312" w:hAnsi="仿宋_GB2312" w:cs="仿宋_GB2312" w:eastAsia="仿宋_GB2312"/>
        </w:rPr>
        <w:t>8、本项目不接受联合体投标：提供非联合体投标承诺书</w:t>
      </w:r>
    </w:p>
    <w:p>
      <w:pPr>
        <w:pStyle w:val="null3"/>
      </w:pPr>
      <w:r>
        <w:rPr>
          <w:rFonts w:ascii="仿宋_GB2312" w:hAnsi="仿宋_GB2312" w:cs="仿宋_GB2312" w:eastAsia="仿宋_GB2312"/>
        </w:rPr>
        <w:t>9、无关联：提供单位负责人为同一人或者存在直接控股、管理关系的不同供应商不得参加同一合同项下的政府采购活动的书面声明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17691017675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铜川市印台区果业发展中心</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地址：陕西省铜川市印台区惠民佳苑8号楼2楼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采购印台区果库配套设备：仓储铁框、周转框等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488,000.00</w:t>
      </w:r>
    </w:p>
    <w:p>
      <w:pPr>
        <w:pStyle w:val="null3"/>
      </w:pPr>
      <w:r>
        <w:rPr>
          <w:rFonts w:ascii="仿宋_GB2312" w:hAnsi="仿宋_GB2312" w:cs="仿宋_GB2312" w:eastAsia="仿宋_GB2312"/>
        </w:rPr>
        <w:t>采购包最高限价（元）: 488,000.00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周转框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托盘</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64,000.00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仓储铁框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312,000.00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铁架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标的名称：周转框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PE聚乙烯 重量：2kg</w:t>
            </w:r>
          </w:p>
          <w:p>
            <w:pPr>
              <w:pStyle w:val="null3"/>
            </w:pPr>
            <w:r>
              <w:rPr>
                <w:rFonts w:ascii="仿宋_GB2312" w:hAnsi="仿宋_GB2312" w:cs="仿宋_GB2312" w:eastAsia="仿宋_GB2312"/>
                <w:sz w:val="24"/>
                <w:color w:val="000000"/>
              </w:rPr>
              <w:t>规格：额定载重大于</w:t>
            </w:r>
            <w:r>
              <w:rPr>
                <w:rFonts w:ascii="仿宋_GB2312" w:hAnsi="仿宋_GB2312" w:cs="仿宋_GB2312" w:eastAsia="仿宋_GB2312"/>
                <w:sz w:val="24"/>
                <w:color w:val="000000"/>
              </w:rPr>
              <w:t>20kg</w:t>
            </w:r>
          </w:p>
        </w:tc>
      </w:tr>
    </w:tbl>
    <w:p>
      <w:pPr>
        <w:pStyle w:val="null3"/>
      </w:pPr>
      <w:r>
        <w:rPr>
          <w:rFonts w:ascii="仿宋_GB2312" w:hAnsi="仿宋_GB2312" w:cs="仿宋_GB2312" w:eastAsia="仿宋_GB2312"/>
        </w:rPr>
        <w:t>标的名称：托盘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PP或PE，四面进叉</w:t>
            </w:r>
          </w:p>
          <w:p>
            <w:pPr>
              <w:pStyle w:val="null3"/>
            </w:pPr>
            <w:r>
              <w:rPr>
                <w:rFonts w:ascii="仿宋_GB2312" w:hAnsi="仿宋_GB2312" w:cs="仿宋_GB2312" w:eastAsia="仿宋_GB2312"/>
                <w:sz w:val="24"/>
                <w:color w:val="000000"/>
              </w:rPr>
              <w:t>规格：参照常规果库使用托盘</w:t>
            </w:r>
          </w:p>
        </w:tc>
      </w:tr>
    </w:tbl>
    <w:p>
      <w:pPr>
        <w:pStyle w:val="null3"/>
      </w:pPr>
      <w:r>
        <w:rPr>
          <w:rFonts w:ascii="仿宋_GB2312" w:hAnsi="仿宋_GB2312" w:cs="仿宋_GB2312" w:eastAsia="仿宋_GB2312"/>
        </w:rPr>
        <w:t>标的名称：仓储铁框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材质：冷轧钢</w:t>
            </w:r>
            <w:r>
              <w:rPr>
                <w:rFonts w:ascii="仿宋_GB2312" w:hAnsi="仿宋_GB2312" w:cs="仿宋_GB2312" w:eastAsia="仿宋_GB2312"/>
                <w:sz w:val="24"/>
                <w:color w:val="000000"/>
              </w:rPr>
              <w:t>规格：额定载重大于</w:t>
            </w:r>
            <w:r>
              <w:rPr>
                <w:rFonts w:ascii="仿宋_GB2312" w:hAnsi="仿宋_GB2312" w:cs="仿宋_GB2312" w:eastAsia="仿宋_GB2312"/>
                <w:sz w:val="24"/>
                <w:color w:val="000000"/>
              </w:rPr>
              <w:t>300kg 附带围板（材质：PP） 其他参数参照常规果库铁框</w:t>
            </w:r>
          </w:p>
        </w:tc>
      </w:tr>
    </w:tbl>
    <w:p>
      <w:pPr>
        <w:pStyle w:val="null3"/>
      </w:pPr>
      <w:r>
        <w:rPr>
          <w:rFonts w:ascii="仿宋_GB2312" w:hAnsi="仿宋_GB2312" w:cs="仿宋_GB2312" w:eastAsia="仿宋_GB2312"/>
        </w:rPr>
        <w:t>标的名称：铁架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材质：冷轧钢</w:t>
            </w:r>
            <w:r>
              <w:rPr>
                <w:rFonts w:ascii="仿宋_GB2312" w:hAnsi="仿宋_GB2312" w:cs="仿宋_GB2312" w:eastAsia="仿宋_GB2312"/>
                <w:sz w:val="24"/>
                <w:color w:val="000000"/>
              </w:rPr>
              <w:t>规格：载重大于</w:t>
            </w:r>
            <w:r>
              <w:rPr>
                <w:rFonts w:ascii="仿宋_GB2312" w:hAnsi="仿宋_GB2312" w:cs="仿宋_GB2312" w:eastAsia="仿宋_GB2312"/>
                <w:sz w:val="24"/>
                <w:color w:val="000000"/>
              </w:rPr>
              <w:t>300kg</w:t>
            </w:r>
          </w:p>
          <w:p>
            <w:pPr>
              <w:pStyle w:val="null3"/>
            </w:pPr>
            <w:r>
              <w:rPr>
                <w:rFonts w:ascii="仿宋_GB2312" w:hAnsi="仿宋_GB2312" w:cs="仿宋_GB2312" w:eastAsia="仿宋_GB2312"/>
                <w:sz w:val="24"/>
                <w:color w:val="000000"/>
              </w:rPr>
              <w:t>其他参数参照常规果库铁架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楼，联系人：刘瑞华，联系电话：17691172318）。3、若电子投标文件与纸质投标文件不一致的，以电子投标文件为准。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无所有者权益变动表的，提供情况说明）、附注、审计机构资质证书等全部内容，成立时间至提交响应文件截止时间不足一年的可提供成立后任意时段的资产负债表），或提交响应文件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提供中国裁判文书网无行贿犯罪行为记录的查询结果，并附具有良好的商业信誉的声明函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无关联</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不得超过15日历天</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法人授权书.docx 法人证明书.docx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A、投标人的报价有选择性报价或者报价重新计算后超过本项目采购预算或者最高限价的； B、投标人未经过正常渠道领取文件，或投标人名称与领取文件时登记的投标人名称不符的； C、无投标有效期或有效期达不到文件要求的； D、投标人针对同一项目递交两份或多份内容不同的投标文件，未书面声明哪一份是有效的或出现选择性报价的； E、提供虚假资料；提供虚假资质、虚假技术指标证明材料、虚假证明（包括第三方提供的虚假证明）；出现虚假应答、承诺、声明的； F、投标人附加了招标单位难以接受的条件或条款的； G、投标人前期参与了本次项目方案设计的； H、在政府采购或其它重大项目履约过程中有不良记录或未能按期履约的； I、投标人使用虚假印章或印章无法证实为真实有效； J、投标报价与市场价格偏离较大、低于成本、形成不正当竞争的； K、报价子目出现漏项或报价与要求不符的； L、投标人响应的采购范围及采购内容与招标文件要求出现重大负偏差的； M、实质性内容不满足、未完全未响应文件要求或擅自改动采购清单的； N、投标人有串通参与投标、行贿等违法行为的； O、投标文件的关键内容字迹模糊、无法辨认的；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经过有效性和符合性审核合格的供应商，其商务条款响应符合招标文件最低要求的计5分。优于招标文件要求的每项另加1分，最多加1分。不完全响应最低要求的计0分。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供应产品完全满足招标文件技术要求的，得5分。不满足招标文件技术要求的，得0分。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（1）提供针对本项目的项目组织及供货实施方案，计0.1-4分，不提供不计分； （2）提供针对本项目的车辆使用方案，计0.1-4分，不提供不计分； （3）提供针对本项目的拟验收方案，计0.1-4分，不提供不计分； （4）提供针对本项目的拟投入人力、财力，物力调配，计0.1-4分，不提供不计分； （5）提供针对本项目的保障措施，计0.1-4分，不提供不计分；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提供产品合法来源证明材料（不限于检测报告、合格证、产品彩页）。每提供一个产品得1分，计满4分为止。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（1）提供针对本项目的售后服务机构及售后服务人员配置、售后服务电话、售后响应时间，计0.1-4分，不提供不计分； （2）提供针对本项目的产品维护保养方案，计0.1-4分，不提供不计分； （3）提供针对本项目的售后服务保障措施及承诺，计0.1-4分，不提供不计分； （4）提供针对本项目的培训计划、方式、内容、培训反馈及总结，计0.1-4分，不提供不计分；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（1）提供针对本项目的质量管理，计0.1-3分，不提供不计分； （2）提供针对本项目的质量保障措施，计0.1-3分，不提供不计分； （3）提供针对本项目的质量保证承诺，计0.1-3分，不提供不计分； （4）提供针对本项目的突发状况的应急预案措施，计0.1-3分，不提供不计分；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履约承诺</w:t>
            </w:r>
          </w:p>
        </w:tc>
        <w:tc>
          <w:tcPr>
            <w:tcW w:type="dxa" w:w="2492"/>
          </w:tcPr>
          <w:p>
            <w:pPr>
              <w:pStyle w:val="null3"/>
            </w:pPr>
            <w:r>
              <w:rPr>
                <w:rFonts w:ascii="仿宋_GB2312" w:hAnsi="仿宋_GB2312" w:cs="仿宋_GB2312" w:eastAsia="仿宋_GB2312"/>
              </w:rPr>
              <w:t>1、提供供货能力承诺（明确承诺交付时限等），计0.1-2分，不提供不计分； 2、提供交付周期承诺（明确承诺按时交付周期，若因投标人原因延迟的解决办法等），计0.1-2分，不提供不计分； 3、提供瑕疵处理承诺（明确货物存在质量问题，承诺在收到反馈后响应时限等），计0.1-2分，不提供不计分； 4、提供合同履约承诺（明确承诺严格遵守合同所有条款），计1分，不提供不计分。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