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版本号：ZC2025-FW-20720251106001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铜川市印台区农村集中式饮用水水源地保护区划定方案编制项目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ZC2025-FW-207</w:t>
      </w:r>
      <w:r>
        <w:br/>
      </w:r>
      <w:r>
        <w:br/>
      </w:r>
      <w:r>
        <w:br/>
      </w:r>
    </w:p>
    <w:p>
      <w:pPr>
        <w:pStyle w:val="null3"/>
        <w:jc w:val="center"/>
        <w:outlineLvl w:val="2"/>
      </w:pPr>
      <w:r>
        <w:rPr>
          <w:rFonts w:ascii="仿宋_GB2312" w:hAnsi="仿宋_GB2312" w:cs="仿宋_GB2312" w:eastAsia="仿宋_GB2312"/>
          <w:sz w:val="28"/>
          <w:b/>
        </w:rPr>
        <w:t>铜川市生态环境局印台分局</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铜川市生态环境局印台分局</w:t>
      </w:r>
      <w:r>
        <w:rPr>
          <w:rFonts w:ascii="仿宋_GB2312" w:hAnsi="仿宋_GB2312" w:cs="仿宋_GB2312" w:eastAsia="仿宋_GB2312"/>
        </w:rPr>
        <w:t>委托，拟对</w:t>
      </w:r>
      <w:r>
        <w:rPr>
          <w:rFonts w:ascii="仿宋_GB2312" w:hAnsi="仿宋_GB2312" w:cs="仿宋_GB2312" w:eastAsia="仿宋_GB2312"/>
        </w:rPr>
        <w:t>铜川市印台区农村集中式饮用水水源地保护区划定方案编制项目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ZC2025-FW-207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铜川市印台区农村集中式饮用水水源地保护区划定方案编制项目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通过对水源地周边土地开发利用规划、污染源调查，水文特征研究，水量分析评价、水质检测等工作手段，合理划分水源地各级保护区范围，防止水源地水环境恶化，查明水源水质现状，针对性的提出饮用水源保护区的监督与管理措施，为保护有限的水资源，保障供水安全提供科学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采购包1（铜川市印台区农村集中式饮用水水源地保护区划定方案编制项目）：属于专门面向小微企业采购。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主体证明资料：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pPr>
        <w:pStyle w:val="null3"/>
      </w:pPr>
      <w:r>
        <w:rPr>
          <w:rFonts w:ascii="仿宋_GB2312" w:hAnsi="仿宋_GB2312" w:cs="仿宋_GB2312" w:eastAsia="仿宋_GB2312"/>
        </w:rPr>
        <w:t>2、信用证明：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注：以响应文件中提供的承诺书为准）</w:t>
      </w:r>
    </w:p>
    <w:p>
      <w:pPr>
        <w:pStyle w:val="null3"/>
      </w:pPr>
      <w:r>
        <w:rPr>
          <w:rFonts w:ascii="仿宋_GB2312" w:hAnsi="仿宋_GB2312" w:cs="仿宋_GB2312" w:eastAsia="仿宋_GB2312"/>
        </w:rPr>
        <w:t>3、联合体磋商：本项目不接受联合体磋商（注：以响应文件中提供的非联合体磋商的声明为准）。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铜川市生态环境局印台分局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铜川市印台区城关南路50号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0919-8100857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毛鑫、张艳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029-88856058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员会办公厅颁发的《关于招标代理服务收费有关问题的通知》规定的服务类标准收取，不足5000.00元按5000.00元收取。由成交供应商在领取成交通知书之前一次性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铜川市生态环境局印台分局</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铜川市生态环境局印台分局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铜川市生态环境局印台分局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集中式饮用水水源保护区划分技术报告工作专业性强，涉及水文地质、环境等多要素的调查论证分析，须保证划分报告的准确性、合理性，能通过省政府的审查批复。</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联系人：毛鑫、张艳</w:t>
      </w:r>
    </w:p>
    <w:p>
      <w:pPr>
        <w:pStyle w:val="null3"/>
      </w:pPr>
      <w:r>
        <w:rPr>
          <w:rFonts w:ascii="仿宋_GB2312" w:hAnsi="仿宋_GB2312" w:cs="仿宋_GB2312" w:eastAsia="仿宋_GB2312"/>
        </w:rPr>
        <w:t>联系电话：029-88856058</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通过对水源地周边土地开发利用规划、污染源调查，水文特征研究，水量分析评价、水质检测等工作手段，合理划分水源地各级保护区范围，防止水源地水环境恶化，查明水源水质现状，针对性的提出饮用水源保护区的监督与管理措施，为保护有限的水资源，保障供水安全提供科学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印台区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标的名称：印台区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FF"/>
              </w:rPr>
              <w:t>一、</w:t>
            </w:r>
            <w:r>
              <w:rPr>
                <w:rFonts w:ascii="仿宋_GB2312" w:hAnsi="仿宋_GB2312" w:cs="仿宋_GB2312" w:eastAsia="仿宋_GB2312"/>
                <w:sz w:val="21"/>
                <w:color w:val="0000FF"/>
              </w:rPr>
              <w:t>项目概况</w:t>
            </w:r>
          </w:p>
          <w:p>
            <w:pPr>
              <w:pStyle w:val="null3"/>
              <w:ind w:firstLine="420"/>
            </w:pPr>
            <w:r>
              <w:rPr>
                <w:rFonts w:ascii="仿宋_GB2312" w:hAnsi="仿宋_GB2312" w:cs="仿宋_GB2312" w:eastAsia="仿宋_GB2312"/>
                <w:sz w:val="21"/>
                <w:color w:val="0000FF"/>
              </w:rPr>
              <w:t>本项目通过对水源地周边土地开发利用规划、污染源调查，水文特征研究，水量分析评价、水质检测等工作手段，合理划分水源地各级保护区范围，防止水源地水环境恶化，查明水源水质现状，针对性的提出饮用水源保护区的监督与管理措施，为保护有限的水资源，保障供水安全提供科学依据。</w:t>
            </w:r>
          </w:p>
          <w:p>
            <w:pPr>
              <w:pStyle w:val="null3"/>
            </w:pPr>
            <w:r>
              <w:rPr>
                <w:rFonts w:ascii="仿宋_GB2312" w:hAnsi="仿宋_GB2312" w:cs="仿宋_GB2312" w:eastAsia="仿宋_GB2312"/>
                <w:sz w:val="21"/>
                <w:color w:val="0000FF"/>
              </w:rPr>
              <w:t>二、验收标准</w:t>
            </w:r>
          </w:p>
          <w:p>
            <w:pPr>
              <w:pStyle w:val="null3"/>
              <w:ind w:firstLine="420"/>
            </w:pPr>
            <w:r>
              <w:rPr>
                <w:rFonts w:ascii="仿宋_GB2312" w:hAnsi="仿宋_GB2312" w:cs="仿宋_GB2312" w:eastAsia="仿宋_GB2312"/>
                <w:sz w:val="21"/>
                <w:color w:val="0000FF"/>
              </w:rPr>
              <w:t>集中式饮用水水源保护区划分技术报告工作专业性强，涉及水文地质、环境等多要素的调查论证分析，须保证划分报告的准确性、合理性，能通过省政府的审查批复。</w:t>
            </w:r>
          </w:p>
          <w:p>
            <w:pPr>
              <w:pStyle w:val="null3"/>
            </w:pPr>
            <w:r>
              <w:rPr>
                <w:rFonts w:ascii="仿宋_GB2312" w:hAnsi="仿宋_GB2312" w:cs="仿宋_GB2312" w:eastAsia="仿宋_GB2312"/>
                <w:sz w:val="21"/>
                <w:color w:val="0000FF"/>
              </w:rPr>
              <w:t>三、技术要求</w:t>
            </w:r>
          </w:p>
          <w:p>
            <w:pPr>
              <w:pStyle w:val="null3"/>
              <w:ind w:firstLine="420"/>
            </w:pPr>
            <w:r>
              <w:rPr>
                <w:rFonts w:ascii="仿宋_GB2312" w:hAnsi="仿宋_GB2312" w:cs="仿宋_GB2312" w:eastAsia="仿宋_GB2312"/>
                <w:sz w:val="21"/>
                <w:color w:val="0000FF"/>
              </w:rPr>
              <w:t>（</w:t>
            </w:r>
            <w:r>
              <w:rPr>
                <w:rFonts w:ascii="仿宋_GB2312" w:hAnsi="仿宋_GB2312" w:cs="仿宋_GB2312" w:eastAsia="仿宋_GB2312"/>
                <w:sz w:val="21"/>
                <w:color w:val="0000FF"/>
              </w:rPr>
              <w:t>1）开展水源地开发利用环境现状调查，重点查明调查区范围内水文特性，水质状况以及污染源分布情况。</w:t>
            </w:r>
          </w:p>
          <w:p>
            <w:pPr>
              <w:pStyle w:val="null3"/>
              <w:ind w:firstLine="420"/>
            </w:pPr>
            <w:r>
              <w:rPr>
                <w:rFonts w:ascii="仿宋_GB2312" w:hAnsi="仿宋_GB2312" w:cs="仿宋_GB2312" w:eastAsia="仿宋_GB2312"/>
                <w:sz w:val="21"/>
                <w:color w:val="0000FF"/>
              </w:rPr>
              <w:t>（</w:t>
            </w:r>
            <w:r>
              <w:rPr>
                <w:rFonts w:ascii="仿宋_GB2312" w:hAnsi="仿宋_GB2312" w:cs="仿宋_GB2312" w:eastAsia="仿宋_GB2312"/>
                <w:sz w:val="21"/>
                <w:color w:val="0000FF"/>
              </w:rPr>
              <w:t>2）根据现行《饮用水水源保护区划分技术规范》要求，采用适宜的方法完成对饮用水水源地保护区定界。</w:t>
            </w:r>
          </w:p>
          <w:p>
            <w:pPr>
              <w:pStyle w:val="null3"/>
              <w:ind w:firstLine="420"/>
            </w:pPr>
            <w:r>
              <w:rPr>
                <w:rFonts w:ascii="仿宋_GB2312" w:hAnsi="仿宋_GB2312" w:cs="仿宋_GB2312" w:eastAsia="仿宋_GB2312"/>
                <w:sz w:val="21"/>
                <w:color w:val="0000FF"/>
              </w:rPr>
              <w:t>（</w:t>
            </w:r>
            <w:r>
              <w:rPr>
                <w:rFonts w:ascii="仿宋_GB2312" w:hAnsi="仿宋_GB2312" w:cs="仿宋_GB2312" w:eastAsia="仿宋_GB2312"/>
                <w:sz w:val="21"/>
                <w:color w:val="0000FF"/>
              </w:rPr>
              <w:t>3）提出饮用水水源地保护区规范化建设与管理要求。</w:t>
            </w:r>
          </w:p>
          <w:p>
            <w:pPr>
              <w:pStyle w:val="null3"/>
              <w:ind w:firstLine="420"/>
            </w:pPr>
            <w:r>
              <w:rPr>
                <w:rFonts w:ascii="仿宋_GB2312" w:hAnsi="仿宋_GB2312" w:cs="仿宋_GB2312" w:eastAsia="仿宋_GB2312"/>
                <w:sz w:val="21"/>
                <w:color w:val="0000FF"/>
              </w:rPr>
              <w:t>（</w:t>
            </w:r>
            <w:r>
              <w:rPr>
                <w:rFonts w:ascii="仿宋_GB2312" w:hAnsi="仿宋_GB2312" w:cs="仿宋_GB2312" w:eastAsia="仿宋_GB2312"/>
                <w:sz w:val="21"/>
                <w:color w:val="0000FF"/>
              </w:rPr>
              <w:t>4）提出饮用水水源地保护区的监管与管理措施，为保护有限的水资源以及防治水环境恶化提供依据。</w:t>
            </w:r>
          </w:p>
          <w:p>
            <w:pPr>
              <w:pStyle w:val="null3"/>
              <w:ind w:firstLine="420"/>
            </w:pPr>
            <w:r>
              <w:rPr>
                <w:rFonts w:ascii="仿宋_GB2312" w:hAnsi="仿宋_GB2312" w:cs="仿宋_GB2312" w:eastAsia="仿宋_GB2312"/>
                <w:sz w:val="21"/>
                <w:color w:val="0000FF"/>
              </w:rPr>
              <w:t>（</w:t>
            </w:r>
            <w:r>
              <w:rPr>
                <w:rFonts w:ascii="仿宋_GB2312" w:hAnsi="仿宋_GB2312" w:cs="仿宋_GB2312" w:eastAsia="仿宋_GB2312"/>
                <w:sz w:val="21"/>
                <w:color w:val="0000FF"/>
              </w:rPr>
              <w:t>5）针对保护区存在的环境风险源问题，制定合理的目标方案，并从饮用水水源地环境保护、污染源整治、风险防范和配套工程建设四个方面，提出切实可行的环境风险整治措施。</w:t>
            </w:r>
          </w:p>
          <w:p>
            <w:pPr>
              <w:pStyle w:val="null3"/>
            </w:pPr>
            <w:r>
              <w:rPr>
                <w:rFonts w:ascii="仿宋_GB2312" w:hAnsi="仿宋_GB2312" w:cs="仿宋_GB2312" w:eastAsia="仿宋_GB2312"/>
                <w:sz w:val="21"/>
                <w:b/>
                <w:color w:val="0000FF"/>
              </w:rPr>
              <w:t>四、成果文件</w:t>
            </w:r>
          </w:p>
          <w:p>
            <w:pPr>
              <w:pStyle w:val="null3"/>
              <w:ind w:firstLine="420"/>
            </w:pPr>
            <w:r>
              <w:rPr>
                <w:rFonts w:ascii="仿宋_GB2312" w:hAnsi="仿宋_GB2312" w:cs="仿宋_GB2312" w:eastAsia="仿宋_GB2312"/>
                <w:sz w:val="21"/>
                <w:color w:val="0000FF"/>
              </w:rPr>
              <w:t>《铜川市印台区农村集中式饮用水水源地保护区划分技术报告》纸质版</w:t>
            </w:r>
            <w:r>
              <w:rPr>
                <w:rFonts w:ascii="仿宋_GB2312" w:hAnsi="仿宋_GB2312" w:cs="仿宋_GB2312" w:eastAsia="仿宋_GB2312"/>
                <w:sz w:val="21"/>
                <w:color w:val="0000FF"/>
              </w:rPr>
              <w:t>5份、电子版1份</w:t>
            </w:r>
          </w:p>
          <w:p>
            <w:pPr>
              <w:pStyle w:val="null3"/>
            </w:pPr>
            <w:r>
              <w:rPr>
                <w:rFonts w:ascii="仿宋_GB2312" w:hAnsi="仿宋_GB2312" w:cs="仿宋_GB2312" w:eastAsia="仿宋_GB2312"/>
                <w:sz w:val="21"/>
                <w:b/>
                <w:color w:val="0000FF"/>
              </w:rPr>
              <w:t>五</w:t>
            </w:r>
            <w:r>
              <w:rPr>
                <w:rFonts w:ascii="仿宋_GB2312" w:hAnsi="仿宋_GB2312" w:cs="仿宋_GB2312" w:eastAsia="仿宋_GB2312"/>
                <w:sz w:val="21"/>
                <w:b/>
                <w:color w:val="0000FF"/>
              </w:rPr>
              <w:t>、商务要求</w:t>
            </w:r>
          </w:p>
          <w:p>
            <w:pPr>
              <w:pStyle w:val="null3"/>
              <w:ind w:firstLine="420"/>
            </w:pPr>
            <w:r>
              <w:rPr>
                <w:rFonts w:ascii="仿宋_GB2312" w:hAnsi="仿宋_GB2312" w:cs="仿宋_GB2312" w:eastAsia="仿宋_GB2312"/>
                <w:sz w:val="21"/>
                <w:color w:val="0000FF"/>
              </w:rPr>
              <w:t>1、付款方式：</w:t>
            </w:r>
            <w:r>
              <w:rPr>
                <w:rFonts w:ascii="仿宋_GB2312" w:hAnsi="仿宋_GB2312" w:cs="仿宋_GB2312" w:eastAsia="仿宋_GB2312"/>
                <w:sz w:val="21"/>
                <w:color w:val="0000FF"/>
              </w:rPr>
              <w:t>甲方于本项目专家评审会后，向乙方支付总价款的</w:t>
            </w:r>
            <w:r>
              <w:rPr>
                <w:rFonts w:ascii="仿宋_GB2312" w:hAnsi="仿宋_GB2312" w:cs="仿宋_GB2312" w:eastAsia="仿宋_GB2312"/>
                <w:sz w:val="21"/>
                <w:color w:val="0000FF"/>
              </w:rPr>
              <w:t>50%。乙方提交咨询成果并经甲方验收合格，正式批复文件下发后，向乙方支付合同总价款的50%。</w:t>
            </w:r>
          </w:p>
          <w:p>
            <w:pPr>
              <w:pStyle w:val="null3"/>
              <w:ind w:firstLine="420"/>
            </w:pPr>
            <w:r>
              <w:rPr>
                <w:rFonts w:ascii="仿宋_GB2312" w:hAnsi="仿宋_GB2312" w:cs="仿宋_GB2312" w:eastAsia="仿宋_GB2312"/>
                <w:sz w:val="21"/>
                <w:color w:val="0000FF"/>
              </w:rPr>
              <w:t>2、服务期限：</w:t>
            </w:r>
            <w:r>
              <w:rPr>
                <w:rFonts w:ascii="仿宋_GB2312" w:hAnsi="仿宋_GB2312" w:cs="仿宋_GB2312" w:eastAsia="仿宋_GB2312"/>
                <w:sz w:val="21"/>
                <w:color w:val="0000FF"/>
              </w:rPr>
              <w:t>自合同签订后</w:t>
            </w:r>
            <w:r>
              <w:rPr>
                <w:rFonts w:ascii="仿宋_GB2312" w:hAnsi="仿宋_GB2312" w:cs="仿宋_GB2312" w:eastAsia="仿宋_GB2312"/>
                <w:sz w:val="21"/>
                <w:color w:val="0000FF"/>
              </w:rPr>
              <w:t>45个工作日</w:t>
            </w:r>
            <w:r>
              <w:rPr>
                <w:rFonts w:ascii="仿宋_GB2312" w:hAnsi="仿宋_GB2312" w:cs="仿宋_GB2312" w:eastAsia="仿宋_GB2312"/>
                <w:sz w:val="21"/>
                <w:color w:val="0000FF"/>
              </w:rPr>
              <w:t>。</w:t>
            </w:r>
          </w:p>
          <w:p>
            <w:pPr>
              <w:pStyle w:val="null3"/>
              <w:ind w:firstLine="420"/>
            </w:pPr>
            <w:r>
              <w:rPr>
                <w:rFonts w:ascii="仿宋_GB2312" w:hAnsi="仿宋_GB2312" w:cs="仿宋_GB2312" w:eastAsia="仿宋_GB2312"/>
                <w:sz w:val="21"/>
                <w:color w:val="0000FF"/>
              </w:rPr>
              <w:t>3、</w:t>
            </w:r>
            <w:r>
              <w:rPr>
                <w:rFonts w:ascii="仿宋_GB2312" w:hAnsi="仿宋_GB2312" w:cs="仿宋_GB2312" w:eastAsia="仿宋_GB2312"/>
                <w:sz w:val="21"/>
                <w:color w:val="0000FF"/>
              </w:rPr>
              <w:t>服务地点：陕西省铜川市</w:t>
            </w:r>
          </w:p>
          <w:p>
            <w:pPr>
              <w:pStyle w:val="null3"/>
            </w:pPr>
            <w:r>
              <w:rPr>
                <w:rFonts w:ascii="仿宋_GB2312" w:hAnsi="仿宋_GB2312" w:cs="仿宋_GB2312" w:eastAsia="仿宋_GB2312"/>
                <w:sz w:val="21"/>
                <w:color w:val="0000FF"/>
              </w:rPr>
              <w:t>4、</w:t>
            </w:r>
            <w:r>
              <w:rPr>
                <w:rFonts w:ascii="仿宋_GB2312" w:hAnsi="仿宋_GB2312" w:cs="仿宋_GB2312" w:eastAsia="仿宋_GB2312"/>
                <w:sz w:val="21"/>
                <w:color w:val="0000FF"/>
              </w:rPr>
              <w:t>质量标准：符合国家及行业质量验收合格标准。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自合同签订后45个工作日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陕西省铜川市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集中式饮用水水源保护区划分技术报告工作专业性强，涉及水文地质、环境等多要素的调查论证分析，须保证划分报告的准确性、合理性，能通过省政府的审查批复。</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甲方于本项目专家评审会后，向乙方支付总价款的50%。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乙方提交咨询成果并经甲方验收合格，正式批复文件下发后，向乙方支付合同总价款的50%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会计师事务所出具的完整的2024年度审计报告（成立时间至提交磋商响应文件截止时间不足一年的可提供成立后任意时段的资产负债表），或提交磋商响应截止时间前6个月内银行出具的资信证明，或信用担保机构出具的担保函（以上三种形式的资料提供任何一种即可）；其他组织和自然人提供银行出具的资信证明或财务报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营业执照或其他主体证明资料</w:t>
            </w:r>
          </w:p>
        </w:tc>
        <w:tc>
          <w:tcPr>
            <w:tcW w:type="dxa" w:w="3322"/>
          </w:tcPr>
          <w:p>
            <w:pPr>
              <w:pStyle w:val="null3"/>
            </w:pPr>
            <w:r>
              <w:rPr>
                <w:rFonts w:ascii="仿宋_GB2312" w:hAnsi="仿宋_GB2312" w:cs="仿宋_GB2312" w:eastAsia="仿宋_GB2312"/>
              </w:rPr>
              <w:t>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注：以响应文件中提供的承诺书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本项目不接受联合体磋商（注：以响应文件中提供的非联合体磋商的声明为准）。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明，且与营业执照或其他证明资料上信息一致。法定代表人授权代表参加磋商的，须出具法定代表人授权书及授权代表身份证扫描件；自然人参加磋商的须提供身份证扫描件。</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磋商响应文件签章</w:t>
            </w:r>
          </w:p>
        </w:tc>
        <w:tc>
          <w:tcPr>
            <w:tcW w:type="dxa" w:w="3322"/>
          </w:tcPr>
          <w:p>
            <w:pPr>
              <w:pStyle w:val="null3"/>
            </w:pPr>
            <w:r>
              <w:rPr>
                <w:rFonts w:ascii="仿宋_GB2312" w:hAnsi="仿宋_GB2312" w:cs="仿宋_GB2312" w:eastAsia="仿宋_GB2312"/>
              </w:rPr>
              <w:t>按磋商文件要求签署、加盖印章</w:t>
            </w:r>
          </w:p>
        </w:tc>
        <w:tc>
          <w:tcPr>
            <w:tcW w:type="dxa" w:w="1661"/>
          </w:tcPr>
          <w:p>
            <w:pPr>
              <w:pStyle w:val="null3"/>
            </w:pPr>
            <w:r>
              <w:rPr>
                <w:rFonts w:ascii="仿宋_GB2312" w:hAnsi="仿宋_GB2312" w:cs="仿宋_GB2312" w:eastAsia="仿宋_GB2312"/>
              </w:rPr>
              <w:t>响应文件封面 供应商认为需要提供的其他资料.docx 供应商应提交的相关资格证明材料.docx 中小企业声明函 残疾人福利性单位声明函 服务方案 标的清单 报价表 商务和技术偏差表.docx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每次报价唯一，且未超过采购包最高限价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商务和技术偏差表.docx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商务和技术偏差表.docx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合同主要条款响应</w:t>
            </w:r>
          </w:p>
        </w:tc>
        <w:tc>
          <w:tcPr>
            <w:tcW w:type="dxa" w:w="3322"/>
          </w:tcPr>
          <w:p>
            <w:pPr>
              <w:pStyle w:val="null3"/>
            </w:pPr>
            <w:r>
              <w:rPr>
                <w:rFonts w:ascii="仿宋_GB2312" w:hAnsi="仿宋_GB2312" w:cs="仿宋_GB2312" w:eastAsia="仿宋_GB2312"/>
              </w:rPr>
              <w:t>对“服务内容、付款方式”等实质性内容进行响应且未附加采购人难以接受的条件</w:t>
            </w:r>
          </w:p>
        </w:tc>
        <w:tc>
          <w:tcPr>
            <w:tcW w:type="dxa" w:w="1661"/>
          </w:tcPr>
          <w:p>
            <w:pPr>
              <w:pStyle w:val="null3"/>
            </w:pPr>
            <w:r>
              <w:rPr>
                <w:rFonts w:ascii="仿宋_GB2312" w:hAnsi="仿宋_GB2312" w:cs="仿宋_GB2312" w:eastAsia="仿宋_GB2312"/>
              </w:rPr>
              <w:t>商务和技术偏差表.docx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方案内容完整全面，切合本项目实际情况，内容清晰合理，计15分； 方案内容基本全面，切合项目实际情况，内容基本清晰且具有一定合理性，计11分； 方案内容明确，但合理性不足，计7分； 方案内容含糊，无合理性，无法保障项目实施，计3分。 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重点把握突出、难点分析</w:t>
            </w:r>
          </w:p>
        </w:tc>
        <w:tc>
          <w:tcPr>
            <w:tcW w:type="dxa" w:w="2492"/>
          </w:tcPr>
          <w:p>
            <w:pPr>
              <w:pStyle w:val="null3"/>
            </w:pPr>
            <w:r>
              <w:rPr>
                <w:rFonts w:ascii="仿宋_GB2312" w:hAnsi="仿宋_GB2312" w:cs="仿宋_GB2312" w:eastAsia="仿宋_GB2312"/>
              </w:rPr>
              <w:t>对本项目的重点把握突出、难点分析到位、提出有针对性的解决方案，解决方案合理计10分；重难点分析基本全面、解决方案有一定针对性计7分； 无重点、难点分析或解决方案有明显缺陷，不能保证项目正常进行计4分。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服务质量管理体系健全完善、质量目标明确，保证措施内容详细全面，条理清晰，针对性充足且完全满足项目实施计15分； 服务质量管理体系较完善、质量目标明确，保证措施详细、条理清晰，有针对性计11分； 服务质量管理体系不完善，质量目标及保证措施明确，保证措施内容明确但条理不清晰，有一定针对性，计7分； 服务质量管理体系不完善，质量目标及保证措施内容含糊或有实质性缺陷，调理不清晰，针对性不足计3分； 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进度计划组织措施</w:t>
            </w:r>
          </w:p>
        </w:tc>
        <w:tc>
          <w:tcPr>
            <w:tcW w:type="dxa" w:w="2492"/>
          </w:tcPr>
          <w:p>
            <w:pPr>
              <w:pStyle w:val="null3"/>
            </w:pPr>
            <w:r>
              <w:rPr>
                <w:rFonts w:ascii="仿宋_GB2312" w:hAnsi="仿宋_GB2312" w:cs="仿宋_GB2312" w:eastAsia="仿宋_GB2312"/>
              </w:rPr>
              <w:t>进度计划组织措施内容全面且详细，条理清晰，针对性充足，计10分； 组织措施措施明确、条理清晰，针对性充足，计8分； 组织措施明确，条理不清晰，针对性不足，计6分； 组织措施含糊，条理不清晰或有实质性缺陷，无针对性，无法满足项目实施，计4分；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工作进度计划保障措施</w:t>
            </w:r>
          </w:p>
        </w:tc>
        <w:tc>
          <w:tcPr>
            <w:tcW w:type="dxa" w:w="2492"/>
          </w:tcPr>
          <w:p>
            <w:pPr>
              <w:pStyle w:val="null3"/>
            </w:pPr>
            <w:r>
              <w:rPr>
                <w:rFonts w:ascii="仿宋_GB2312" w:hAnsi="仿宋_GB2312" w:cs="仿宋_GB2312" w:eastAsia="仿宋_GB2312"/>
              </w:rPr>
              <w:t>进度计划保障措施内容全面且详细，条理清晰，针对性充足且完全满足项目实施，计10分； 保障措施措施明确、条理清晰，针对性充足，计8分； 保障措施明确，条理不清晰，针对性不足，能够满足项目实施，计6分；保障措施内容含糊，条理不清晰或有实质性缺陷，针对性不足，无法满足项目实施，计4分；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针对本项目拟配备服务团队人员架构齐全、数量充足、专业经验丰富，配备方案合理高效，且具有针对性计10分； 针对本项目拟配备服务团队人员架构基本齐全、数量基本充足、专业经验丰富，配备方案明确且具有一定合理性，具有一定针对性的计7分 ； 针对本项目拟配备服务团队人员架构明确、数量不足、专业经验不足，配备方案含糊，且针对性不足计4分。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供应商提供完善的服务承诺及措施。 承诺及措施切合本项目实际情况，内容清晰合理，计10分； 承诺及措施切合项目实际情况，内容基本清晰且具有一定合理性，计8分； 承诺及措施明确，但合理性不足，计6分； 承诺及措施含糊，无合理性，无法保障项目实施，计4分。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供应商自2022年1月1日至磋商响应文件递交截止时间前类似项目业绩，每提供1份得2.5分，满分10分。 注：以响应文件中所附的合同协议书复印件为准，时间以合同签订时间为准。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范围：有效的磋商响应总报价（指经初审合格的供应商的磋商响应总报价）。2.满足磋商文件要求且最后报价最低的供应商的价格为磋商基准价，其价格分为满分。其他供应商的价格分统一按照下列公式计算： 磋商报价得分=（磋商基准价/最后磋商报价）×分值。 3.评分分值计算保留小数点后两位，小数点后第三位“四舍五入”。4.对需要落实政府采购政策的供应商详见“采购项目需要落实的政府采购政策”。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详见附件：供应商认为需要提供的其他资料.docx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详见附件：商务和技术偏差表.docx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