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版本号：SYTH-ZFCG-2025-07120251215001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执法办案中心维修改造项目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SYTH-ZFCG-2025-071</w:t>
      </w:r>
      <w:r>
        <w:br/>
      </w:r>
      <w:r>
        <w:br/>
      </w:r>
      <w:r>
        <w:br/>
      </w:r>
    </w:p>
    <w:p>
      <w:pPr>
        <w:pStyle w:val="null3"/>
        <w:jc w:val="center"/>
        <w:outlineLvl w:val="2"/>
      </w:pPr>
      <w:r>
        <w:rPr>
          <w:rFonts w:ascii="仿宋_GB2312" w:hAnsi="仿宋_GB2312" w:cs="仿宋_GB2312" w:eastAsia="仿宋_GB2312"/>
          <w:sz w:val="28"/>
          <w:b/>
        </w:rPr>
        <w:t>铜川市公安局印台分局</w:t>
      </w:r>
    </w:p>
    <w:p>
      <w:pPr>
        <w:pStyle w:val="null3"/>
        <w:jc w:val="center"/>
        <w:outlineLvl w:val="2"/>
      </w:pPr>
      <w:r>
        <w:rPr>
          <w:rFonts w:ascii="仿宋_GB2312" w:hAnsi="仿宋_GB2312" w:cs="仿宋_GB2312" w:eastAsia="仿宋_GB2312"/>
          <w:sz w:val="28"/>
          <w:b/>
        </w:rPr>
        <w:t>陕西晟运天弘项目管理有限公司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陕西晟运天弘项目管理有限公司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铜川市公安局印台分局</w:t>
      </w:r>
      <w:r>
        <w:rPr>
          <w:rFonts w:ascii="仿宋_GB2312" w:hAnsi="仿宋_GB2312" w:cs="仿宋_GB2312" w:eastAsia="仿宋_GB2312"/>
        </w:rPr>
        <w:t>委托，拟对</w:t>
      </w:r>
      <w:r>
        <w:rPr>
          <w:rFonts w:ascii="仿宋_GB2312" w:hAnsi="仿宋_GB2312" w:cs="仿宋_GB2312" w:eastAsia="仿宋_GB2312"/>
        </w:rPr>
        <w:t>执法办案中心维修改造项目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SYTH-ZFCG-2025-071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执法办案中心维修改造项目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内墙墙板、吊顶更换、地面更换、电改造、卫生间改造、更换门、拆除水泥混凝土路面、新铺沥青混凝土路面、更换井盖等工程。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采购包1（执法办案中心维修改造项目）：属于专门面向中小企业采购。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证书等级：具有建筑工程施工总承包二级（含二级）或以上资质；具有有效的安全生产许可证；项目经理具有相应专业注册建造师二级（含二级）以上资格证书、有效的安全生产考核合格证书（B证）专业：建筑专业补充说明：/</w:t>
      </w:r>
    </w:p>
    <w:p>
      <w:pPr>
        <w:pStyle w:val="null3"/>
      </w:pPr>
      <w:r>
        <w:rPr>
          <w:rFonts w:ascii="仿宋_GB2312" w:hAnsi="仿宋_GB2312" w:cs="仿宋_GB2312" w:eastAsia="仿宋_GB2312"/>
        </w:rPr>
        <w:t>2、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3、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磋商文件之日至递交响应文件截止之日期间有效，打印背景体现查询日期。）供应商需在项目电子化交易系统中按要求上传相应证明文件并进行电子签章。</w:t>
      </w:r>
    </w:p>
    <w:p>
      <w:pPr>
        <w:pStyle w:val="null3"/>
      </w:pPr>
      <w:r>
        <w:rPr>
          <w:rFonts w:ascii="仿宋_GB2312" w:hAnsi="仿宋_GB2312" w:cs="仿宋_GB2312" w:eastAsia="仿宋_GB2312"/>
        </w:rPr>
        <w:t>4、具有履行合同所必需的设备和专业技术能力：具有履行合同所必需的设备和专业技术能力的声明；供应商需在项目电子化交易系统中按要求上传相应证明文件并进行电子签章。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5、有依法缴纳社会保障资金的良好记录：提供磋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有依法缴纳税收的良好记录：提供磋商截止日前近一年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7、参加本次政府采购活动前3年内在经营活动中没有重大违法记录或被起诉：参加本次政府采购活动前3年内在经营活动中没有重大违法记录或被起诉的声明；供应商需在项目电子化交易系统中按要求上传相应证明文件并进行电子签章。</w:t>
      </w:r>
    </w:p>
    <w:p>
      <w:pPr>
        <w:pStyle w:val="null3"/>
      </w:pPr>
      <w:r>
        <w:rPr>
          <w:rFonts w:ascii="仿宋_GB2312" w:hAnsi="仿宋_GB2312" w:cs="仿宋_GB2312" w:eastAsia="仿宋_GB2312"/>
        </w:rPr>
        <w:t>8、非联合体磋商：提供非联合体磋商声明；供应商需在项目电子化交易系统中按要求上传相应证明文件并进行电子签章。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铜川市公安局印台分局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铜川市印台区同官路38号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铜川市公安局印台分局经办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19909198111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陕西晟运天弘项目管理有限公司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陕西省铜川市王益区河滨路粮油公司办公楼三楼北户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朱智豪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0919-2392777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铜川市公安局印台分局</w:t>
      </w:r>
      <w:r>
        <w:rPr>
          <w:rFonts w:ascii="仿宋_GB2312" w:hAnsi="仿宋_GB2312" w:cs="仿宋_GB2312" w:eastAsia="仿宋_GB2312"/>
        </w:rPr>
        <w:t>和</w:t>
      </w:r>
      <w:r>
        <w:rPr>
          <w:rFonts w:ascii="仿宋_GB2312" w:hAnsi="仿宋_GB2312" w:cs="仿宋_GB2312" w:eastAsia="仿宋_GB2312"/>
        </w:rPr>
        <w:t>陕西晟运天弘项目管理有限公司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铜川市公安局印台分局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陕西晟运天弘项目管理有限公司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铜川市公安局印台分局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陕西晟运天弘项目管理有限公司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联系人：朱智豪</w:t>
      </w:r>
    </w:p>
    <w:p>
      <w:pPr>
        <w:pStyle w:val="null3"/>
      </w:pPr>
      <w:r>
        <w:rPr>
          <w:rFonts w:ascii="仿宋_GB2312" w:hAnsi="仿宋_GB2312" w:cs="仿宋_GB2312" w:eastAsia="仿宋_GB2312"/>
        </w:rPr>
        <w:t>联系电话：0919-2392777</w:t>
      </w:r>
    </w:p>
    <w:p>
      <w:pPr>
        <w:pStyle w:val="null3"/>
      </w:pPr>
      <w:r>
        <w:rPr>
          <w:rFonts w:ascii="仿宋_GB2312" w:hAnsi="仿宋_GB2312" w:cs="仿宋_GB2312" w:eastAsia="仿宋_GB2312"/>
        </w:rPr>
        <w:t>地址：陕西省铜川市王益区河滨路粮油公司办公楼三楼北户</w:t>
      </w:r>
    </w:p>
    <w:p>
      <w:pPr>
        <w:pStyle w:val="null3"/>
      </w:pPr>
      <w:r>
        <w:rPr>
          <w:rFonts w:ascii="仿宋_GB2312" w:hAnsi="仿宋_GB2312" w:cs="仿宋_GB2312" w:eastAsia="仿宋_GB2312"/>
        </w:rPr>
        <w:t>邮编：727001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动物</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标的名称：动物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符合公安执法办案管理</w:t>
            </w:r>
            <w:r>
              <w:rPr>
                <w:rFonts w:ascii="仿宋_GB2312" w:hAnsi="仿宋_GB2312" w:cs="仿宋_GB2312" w:eastAsia="仿宋_GB2312"/>
                <w:sz w:val="21"/>
                <w:color w:val="333333"/>
              </w:rPr>
              <w:t>场所的要求。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合格工程</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 xml:space="preserve"> 达到行业相关技术要求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1、工程地点：采购人指定地点。 2、工期要求：90日历天 3、缺陷责任期：1年 4、质量标准：建设工程质量必须达到合格工程。 5、质量保修期限执行《建筑工程质量管理条例》，法律未规定由甲乙双方自行协商。建设工程在保修范围和保修期限内发生质量问题的，施工单位应当履行保修义务，并对造成的损失承担赔偿责任。 6、合同实施：若因成交供应商原因未能在工期内（不可抗力因素除外）完成合同规定的义务，由此对采购人造成的延误和一切损失，由成交供应商承担和赔偿。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响应文件封面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磋商前六个月内其基本存款账户开户银行出具的资信证明，或信用担保机构出具的磋商担保函；（提供复印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具有建筑工程施工总承包二级（含二级）或以上资质；具有有效的安全生产许可证；项目经理具有相应专业注册建造师二级（含二级）以上资格证书、有效的安全生产考核合格证书（B证）专业：建筑专业补充说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磋商文件之日至递交响应文件截止之日期间有效，打印背景体现查询日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一年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响应文件封面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并由法定代表人或被授权人签名（或盖章），其余页面逐页盖公章，否则将作为无效响应文件处理。磋商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响应文件封面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不得超过90日历天</w:t>
            </w:r>
          </w:p>
        </w:tc>
        <w:tc>
          <w:tcPr>
            <w:tcW w:type="dxa" w:w="1661"/>
          </w:tcPr>
          <w:p>
            <w:pPr>
              <w:pStyle w:val="null3"/>
            </w:pPr>
            <w:r>
              <w:rPr>
                <w:rFonts w:ascii="仿宋_GB2312" w:hAnsi="仿宋_GB2312" w:cs="仿宋_GB2312" w:eastAsia="仿宋_GB2312"/>
              </w:rPr>
              <w:t>报价函 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A、供应商的磋商报价有选择性报价或者磋商报价重新计算后超过本项目采购预算或者最高限价的； B、供应商未经过正常渠道领取磋商文件，或供应商名称与领取磋商文件时登记的供应商名称不符的；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I、提供虚假技术性能指标。 J、实质性内容不满足、未完全未响应招标要求或擅自改动采购清单的； K、响应文件的关键内容字迹模糊、无法辨认的；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响应文件封面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供应商应提供完整可行的施工方案，满足采购文件要求内容无缺陷：得8分，方案内容每存在1处缺陷：扣1分，扣完为止；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工期措施</w:t>
            </w:r>
          </w:p>
        </w:tc>
        <w:tc>
          <w:tcPr>
            <w:tcW w:type="dxa" w:w="2492"/>
          </w:tcPr>
          <w:p>
            <w:pPr>
              <w:pStyle w:val="null3"/>
            </w:pPr>
            <w:r>
              <w:rPr>
                <w:rFonts w:ascii="仿宋_GB2312" w:hAnsi="仿宋_GB2312" w:cs="仿宋_GB2312" w:eastAsia="仿宋_GB2312"/>
              </w:rPr>
              <w:t>供应商提供确保工期的技术组织措施，包括但不限于施工进度计划，关键节点把控措施等，满足采购文件要求内容无缺陷：得6分，方案内容每存在1处缺陷：扣1分，扣完为止；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工程质量措施</w:t>
            </w:r>
          </w:p>
        </w:tc>
        <w:tc>
          <w:tcPr>
            <w:tcW w:type="dxa" w:w="2492"/>
          </w:tcPr>
          <w:p>
            <w:pPr>
              <w:pStyle w:val="null3"/>
            </w:pPr>
            <w:r>
              <w:rPr>
                <w:rFonts w:ascii="仿宋_GB2312" w:hAnsi="仿宋_GB2312" w:cs="仿宋_GB2312" w:eastAsia="仿宋_GB2312"/>
              </w:rPr>
              <w:t>供应商提供确保工程质量的技术组织措施，包括但不限于质量管理体系，质量目标实施方案等内容，满足采购文件要求内容无缺陷：得6分，方案内容每存在1处缺陷：扣1分，扣完为止；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安全生产措施</w:t>
            </w:r>
          </w:p>
        </w:tc>
        <w:tc>
          <w:tcPr>
            <w:tcW w:type="dxa" w:w="2492"/>
          </w:tcPr>
          <w:p>
            <w:pPr>
              <w:pStyle w:val="null3"/>
            </w:pPr>
            <w:r>
              <w:rPr>
                <w:rFonts w:ascii="仿宋_GB2312" w:hAnsi="仿宋_GB2312" w:cs="仿宋_GB2312" w:eastAsia="仿宋_GB2312"/>
              </w:rPr>
              <w:t>供应商提供确保安全生产的技术组织措施，包括但不限于安全施工方案、防护措施等内容，满足采购文件要求内容无缺陷：得6分，方案内容每存在1处缺陷：扣1分，扣完为止；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供应商提供施工机械配备和材料投入计划,包括但不限于施工机械配备、材料投入规划等，满足采购文件要求内容无缺陷：得6分，方案内容每存在1处缺陷：扣1分，扣完为止；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劳动力安排和计划</w:t>
            </w:r>
          </w:p>
        </w:tc>
        <w:tc>
          <w:tcPr>
            <w:tcW w:type="dxa" w:w="2492"/>
          </w:tcPr>
          <w:p>
            <w:pPr>
              <w:pStyle w:val="null3"/>
            </w:pPr>
            <w:r>
              <w:rPr>
                <w:rFonts w:ascii="仿宋_GB2312" w:hAnsi="仿宋_GB2312" w:cs="仿宋_GB2312" w:eastAsia="仿宋_GB2312"/>
              </w:rPr>
              <w:t>供应商提供劳动力安排和计划，包括但不限于各类专业人员配备，从事专业年限、专业程度、同类项目经验、分工情况、责任明确程度等，满足采购文件要求内容无缺陷：得6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供应商提供确保文明施工的技术组织措施及环境保护措施，包括但不限于文明施工措施、环境保护措施等内容；满足采购文件要求内容无缺陷：得6分，方案内容每存在1处缺陷：扣1分，扣完为止；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供应商提供确保项目正常实施的协调工作及在施工过程中发生紧急情况时的应急措施；满足采购文件要求内容无缺陷：得6分，方案内容每存在1处缺陷：扣1分，扣完为止；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施工进度安排</w:t>
            </w:r>
          </w:p>
        </w:tc>
        <w:tc>
          <w:tcPr>
            <w:tcW w:type="dxa" w:w="2492"/>
          </w:tcPr>
          <w:p>
            <w:pPr>
              <w:pStyle w:val="null3"/>
            </w:pPr>
            <w:r>
              <w:rPr>
                <w:rFonts w:ascii="仿宋_GB2312" w:hAnsi="仿宋_GB2312" w:cs="仿宋_GB2312" w:eastAsia="仿宋_GB2312"/>
              </w:rPr>
              <w:t>供应商提供施工进度表或施工网络图，包括但不限于施工进度表或施工网络图、进度保障方案等内容；满足采购文件要求内容无缺陷：得5分，方案内容每存在1处缺陷：扣1分，扣完为止；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主要人员</w:t>
            </w:r>
          </w:p>
        </w:tc>
        <w:tc>
          <w:tcPr>
            <w:tcW w:type="dxa" w:w="2492"/>
          </w:tcPr>
          <w:p>
            <w:pPr>
              <w:pStyle w:val="null3"/>
            </w:pPr>
            <w:r>
              <w:rPr>
                <w:rFonts w:ascii="仿宋_GB2312" w:hAnsi="仿宋_GB2312" w:cs="仿宋_GB2312" w:eastAsia="仿宋_GB2312"/>
              </w:rPr>
              <w:t>提供相关人员有效证书：提供安全员、施工员、资料员、质量员等八大员证书，每提供一个得1分最高得5分；评审依据：以供应商提供的有效证书复印件为准。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2021年1月1日起至响应文件递交截止时间止，供应商具备类似项目业绩，每提供1项有效业绩证明材料得2分，最多得10分。 评审依据：以供应商提供的施工合同复印件为准，时间以合同签订时间为准。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 注：本项目专门面向中小企业，不进行价格折扣。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详见附件：主要人员简历表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