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版本号：YCRH-2025-021120250220001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铜川市印台区水网建设规划编制服务项目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YCRH-2025-0211</w:t>
      </w:r>
      <w:r>
        <w:br/>
      </w:r>
      <w:r>
        <w:br/>
      </w:r>
      <w:r>
        <w:br/>
      </w:r>
    </w:p>
    <w:p>
      <w:pPr>
        <w:pStyle w:val="null3"/>
        <w:jc w:val="center"/>
        <w:outlineLvl w:val="2"/>
      </w:pPr>
      <w:r>
        <w:rPr>
          <w:rFonts w:ascii="仿宋_GB2312" w:hAnsi="仿宋_GB2312" w:cs="仿宋_GB2312" w:eastAsia="仿宋_GB2312"/>
          <w:sz w:val="28"/>
          <w:b/>
        </w:rPr>
        <w:t>铜川市印台区水务局</w:t>
      </w:r>
    </w:p>
    <w:p>
      <w:pPr>
        <w:pStyle w:val="null3"/>
        <w:jc w:val="center"/>
        <w:outlineLvl w:val="2"/>
      </w:pPr>
      <w:r>
        <w:rPr>
          <w:rFonts w:ascii="仿宋_GB2312" w:hAnsi="仿宋_GB2312" w:cs="仿宋_GB2312" w:eastAsia="仿宋_GB2312"/>
          <w:sz w:val="28"/>
          <w:b/>
        </w:rPr>
        <w:t>铜川耀城任禾项目管理有限公司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2025年02月21日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铜川耀城任禾项目管理有限公司</w:t>
      </w:r>
      <w:r>
        <w:rPr>
          <w:rFonts w:ascii="仿宋_GB2312" w:hAnsi="仿宋_GB2312" w:cs="仿宋_GB2312" w:eastAsia="仿宋_GB2312"/>
        </w:rPr>
        <w:t>（以下简称“代理机构”）受</w:t>
      </w:r>
      <w:r>
        <w:rPr>
          <w:rFonts w:ascii="仿宋_GB2312" w:hAnsi="仿宋_GB2312" w:cs="仿宋_GB2312" w:eastAsia="仿宋_GB2312"/>
        </w:rPr>
        <w:t>铜川市印台区水务局</w:t>
      </w:r>
      <w:r>
        <w:rPr>
          <w:rFonts w:ascii="仿宋_GB2312" w:hAnsi="仿宋_GB2312" w:cs="仿宋_GB2312" w:eastAsia="仿宋_GB2312"/>
        </w:rPr>
        <w:t>委托，拟对</w:t>
      </w:r>
      <w:r>
        <w:rPr>
          <w:rFonts w:ascii="仿宋_GB2312" w:hAnsi="仿宋_GB2312" w:cs="仿宋_GB2312" w:eastAsia="仿宋_GB2312"/>
        </w:rPr>
        <w:t>铜川市印台区水网建设规划编制服务项目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YCRH-2025-0211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铜川市印台区水网建设规划编制服务项目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编制铜川市印台区水网建设规划；主要功能或目标：依托国家骨干网及市水网规划，结合印台区人口及产业布当局，优化水资源配置格局，推进水利基础设施建设，打通“最后一公里”，提升城多水利公共服务水平。加强水网数字化建设，提升水网调度管理智能化水平，重点谋划区域水系及供水工程互联互通、再生水利用网络、中小型调蓄工程、中小型灌区建设、城多供水一体化、农村供水及应急备用水源体系建设，统筹做好防洪体系建设和河湖生态保护修复治理等工作，形成本区域水网总体布局。</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授权委托书：法定代表人（主要负责人）委托代理人参加投标时，应提供法定代表人（主要负责人）授权委托书；法定代表人（主要负责人）亲自参加投标时，应提供法定代表人（主要负责人）身份证明书；其他组织、自然人参加投标的，须出具参加投标的证明资料。</w:t>
      </w:r>
    </w:p>
    <w:p>
      <w:pPr>
        <w:pStyle w:val="null3"/>
      </w:pPr>
      <w:r>
        <w:rPr>
          <w:rFonts w:ascii="仿宋_GB2312" w:hAnsi="仿宋_GB2312" w:cs="仿宋_GB2312" w:eastAsia="仿宋_GB2312"/>
        </w:rPr>
        <w:t>3、财务状况报告：提供具有财务审计资质的单位出具经审计的2023年或2024年年度的财务审计报告（包括报告正文、资产负债表、利润表、现金流量表及所有者权益变动表（无所有者权益表的提供书面说明）、附注、会计师事务所营业执照及注册会计师执业证书，报告正文应有会计师事务所公章，2个注册会计师的签字和盖章）；事业法人提供部门决算报告；或在开标日期前6个月内其基本开户银行出具的资信证明（附《基本存款账户信息》或《银行开户许可证》复印件）；或财政部门认可的政府采购专业担保机构出具的投标担保函。</w:t>
      </w:r>
    </w:p>
    <w:p>
      <w:pPr>
        <w:pStyle w:val="null3"/>
      </w:pPr>
      <w:r>
        <w:rPr>
          <w:rFonts w:ascii="仿宋_GB2312" w:hAnsi="仿宋_GB2312" w:cs="仿宋_GB2312" w:eastAsia="仿宋_GB2312"/>
        </w:rPr>
        <w:t>4、税收缴纳证明：提供依法缴纳税收的良好记录，缴费所属日期为投标截止时间前一年内已缴纳任意时段（投标截止时间当月不计入）的增值税（或企业所得税）缴费凭据或纳税的银行转账汇款单、对账单等；判定/在法规范围内不需提供的，应出具书面说明和证明文件。</w:t>
      </w:r>
    </w:p>
    <w:p>
      <w:pPr>
        <w:pStyle w:val="null3"/>
      </w:pPr>
      <w:r>
        <w:rPr>
          <w:rFonts w:ascii="仿宋_GB2312" w:hAnsi="仿宋_GB2312" w:cs="仿宋_GB2312" w:eastAsia="仿宋_GB2312"/>
        </w:rPr>
        <w:t>5、社会保障资金缴纳证明：提供依法缴纳社会保障资金的良好记录，缴费所属日期为投标截止时间前一年内已缴纳任意时段（投标截止时间当月不计入）的根据银行转账汇款单或社保部门出具的缴纳社会保障金的凭证；判定/在法规范围内不需提供的，应出具书面说明和证明文件。</w:t>
      </w:r>
    </w:p>
    <w:p>
      <w:pPr>
        <w:pStyle w:val="null3"/>
      </w:pPr>
      <w:r>
        <w:rPr>
          <w:rFonts w:ascii="仿宋_GB2312" w:hAnsi="仿宋_GB2312" w:cs="仿宋_GB2312" w:eastAsia="仿宋_GB2312"/>
        </w:rPr>
        <w:t>6、没有重大违法记录的书面声明：提供参加政府采购活动前3年内在经营活动中没有重大违法记录的书面声明。</w:t>
      </w:r>
    </w:p>
    <w:p>
      <w:pPr>
        <w:pStyle w:val="null3"/>
      </w:pPr>
      <w:r>
        <w:rPr>
          <w:rFonts w:ascii="仿宋_GB2312" w:hAnsi="仿宋_GB2312" w:cs="仿宋_GB2312" w:eastAsia="仿宋_GB2312"/>
        </w:rPr>
        <w:t>7、信用记录：供应商不得被“信用中国”网站（www.creditchina.gov.cn）列入失信被执行人和重大税收违法案件当事人名单人，不得被“中国政府采购网”（www.ccgp.gov.cn）列入政府采购严重违法失信行为记录名单。</w:t>
      </w:r>
    </w:p>
    <w:p>
      <w:pPr>
        <w:pStyle w:val="null3"/>
      </w:pPr>
      <w:r>
        <w:rPr>
          <w:rFonts w:ascii="仿宋_GB2312" w:hAnsi="仿宋_GB2312" w:cs="仿宋_GB2312" w:eastAsia="仿宋_GB2312"/>
        </w:rPr>
        <w:t>8、履行合同所必需的设备和专业技术能力的书面声明：提供履行合同所必需的设备和专业技术能力的书面声明。</w:t>
      </w:r>
    </w:p>
    <w:p>
      <w:pPr>
        <w:pStyle w:val="null3"/>
      </w:pPr>
      <w:r>
        <w:rPr>
          <w:rFonts w:ascii="仿宋_GB2312" w:hAnsi="仿宋_GB2312" w:cs="仿宋_GB2312" w:eastAsia="仿宋_GB2312"/>
        </w:rPr>
        <w:t>9、企业资质：具备行政主管部门颁发的工程设计水利行业乙级及以上资质。</w:t>
      </w:r>
    </w:p>
    <w:p>
      <w:pPr>
        <w:pStyle w:val="null3"/>
      </w:pPr>
      <w:r>
        <w:rPr>
          <w:rFonts w:ascii="仿宋_GB2312" w:hAnsi="仿宋_GB2312" w:cs="仿宋_GB2312" w:eastAsia="仿宋_GB2312"/>
        </w:rPr>
        <w:t>10、项目负责人：拟派项目负责人须具备水利类相关专业中级及以上职称。</w:t>
      </w:r>
    </w:p>
    <w:p>
      <w:pPr>
        <w:pStyle w:val="null3"/>
      </w:pPr>
      <w:r>
        <w:rPr>
          <w:rFonts w:ascii="仿宋_GB2312" w:hAnsi="仿宋_GB2312" w:cs="仿宋_GB2312" w:eastAsia="仿宋_GB2312"/>
        </w:rPr>
        <w:t>11、其他要求：本项目不接受联合体磋商，单位负责人为同一人或者存在直接控股、管理关系的不同单位，不得参加同一合同项下的政府采购活动，为采购项目提供整体设计、规范编制或者项目管理、监理、检测等服务的供应商，不得再参加该采购项目。</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铜川市印台区水务局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铜川市印台区</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刘一心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09192683110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铜川耀城任禾项目管理有限公司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陕西省铜川市耀州区天宝路街道办事处天宝滩社区锦阳路北段西侧转角楼二层门面</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0919-6600459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铜川市印台区政府采购管理股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孟繁胜</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0919-4191018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采购包1：490,000.00元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国家计委关于印发《招标代理服务收费管理暂行办法》的通知（计价格〔2002〕1980号）、《国家发展和改革委员会办公厅关于招标代理服务收费有关问题的通知》（发改办价格〔2003〕857号）规定向中标（成交）供应商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铜川市印台区水务局</w:t>
      </w:r>
      <w:r>
        <w:rPr>
          <w:rFonts w:ascii="仿宋_GB2312" w:hAnsi="仿宋_GB2312" w:cs="仿宋_GB2312" w:eastAsia="仿宋_GB2312"/>
        </w:rPr>
        <w:t>和</w:t>
      </w:r>
      <w:r>
        <w:rPr>
          <w:rFonts w:ascii="仿宋_GB2312" w:hAnsi="仿宋_GB2312" w:cs="仿宋_GB2312" w:eastAsia="仿宋_GB2312"/>
        </w:rPr>
        <w:t>铜川耀城任禾项目管理有限公司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铜川市印台区水务局</w:t>
      </w:r>
      <w:r>
        <w:rPr>
          <w:rFonts w:ascii="仿宋_GB2312" w:hAnsi="仿宋_GB2312" w:cs="仿宋_GB2312" w:eastAsia="仿宋_GB2312"/>
        </w:rPr>
        <w:t>负责解释。除上述磋商文件内容，其他内容由</w:t>
      </w:r>
      <w:r>
        <w:rPr>
          <w:rFonts w:ascii="仿宋_GB2312" w:hAnsi="仿宋_GB2312" w:cs="仿宋_GB2312" w:eastAsia="仿宋_GB2312"/>
        </w:rPr>
        <w:t>铜川耀城任禾项目管理有限公司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铜川市印台区水务局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铜川耀城任禾项目管理有限公司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达到行业及国家有关规定标准。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铜川耀城任禾项目管理有限公司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铜川耀城任禾项目管理有限公司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铜川耀城任禾项目管理有限公司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联系人：杨工</w:t>
      </w:r>
    </w:p>
    <w:p>
      <w:pPr>
        <w:pStyle w:val="null3"/>
      </w:pPr>
      <w:r>
        <w:rPr>
          <w:rFonts w:ascii="仿宋_GB2312" w:hAnsi="仿宋_GB2312" w:cs="仿宋_GB2312" w:eastAsia="仿宋_GB2312"/>
        </w:rPr>
        <w:t>联系电话：0919-6600459</w:t>
      </w:r>
    </w:p>
    <w:p>
      <w:pPr>
        <w:pStyle w:val="null3"/>
      </w:pPr>
      <w:r>
        <w:rPr>
          <w:rFonts w:ascii="仿宋_GB2312" w:hAnsi="仿宋_GB2312" w:cs="仿宋_GB2312" w:eastAsia="仿宋_GB2312"/>
        </w:rPr>
        <w:t>地址：陕西省铜川市耀州区华原路与锦阳路交叉口（柳公权中学对面、光明眼镜行隔壁）</w:t>
      </w:r>
    </w:p>
    <w:p>
      <w:pPr>
        <w:pStyle w:val="null3"/>
      </w:pPr>
      <w:r>
        <w:rPr>
          <w:rFonts w:ascii="仿宋_GB2312" w:hAnsi="仿宋_GB2312" w:cs="仿宋_GB2312" w:eastAsia="仿宋_GB2312"/>
        </w:rPr>
        <w:t>邮编：727100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编制铜川市印台区水网建设规划；主要功能或目标：依托国家骨干网及市水网规划，结合印台区人口及产业布当局，优化水资源配置格局，推进水利基础设施建设，打通“最后一公里”，提升城多水利公共服务水平。加强水网数字化建设，提升水网调度管理智能化水平，重点谋划区域水系及供水工程互联互通、再生水利用网络、中小型调蓄工程、中小型灌区建设、城多供水一体化、农村供水及应急备用水源体系建设，统筹做好防洪体系建设和河湖生态保护修复治理等工作，形成本区域水网总体布局。</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490,000.00</w:t>
      </w:r>
    </w:p>
    <w:p>
      <w:pPr>
        <w:pStyle w:val="null3"/>
      </w:pPr>
      <w:r>
        <w:rPr>
          <w:rFonts w:ascii="仿宋_GB2312" w:hAnsi="仿宋_GB2312" w:cs="仿宋_GB2312" w:eastAsia="仿宋_GB2312"/>
        </w:rPr>
        <w:t>采购包最高限价（元）: 490,000.00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规划编制服务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490,000.00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标的名称：规划编制服务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采购服务内容</w:t>
            </w:r>
          </w:p>
        </w:tc>
        <w:tc>
          <w:tcPr>
            <w:tcW w:type="dxa" w:w="2076"/>
          </w:tcPr>
          <w:p>
            <w:pPr>
              <w:pStyle w:val="null3"/>
              <w:spacing w:before="105" w:after="30"/>
              <w:jc w:val="both"/>
            </w:pPr>
            <w:r>
              <w:rPr>
                <w:rFonts w:ascii="仿宋_GB2312" w:hAnsi="仿宋_GB2312" w:cs="仿宋_GB2312" w:eastAsia="仿宋_GB2312"/>
                <w:sz w:val="21"/>
              </w:rPr>
              <w:t>一</w:t>
            </w:r>
            <w:r>
              <w:rPr>
                <w:rFonts w:ascii="仿宋_GB2312" w:hAnsi="仿宋_GB2312" w:cs="仿宋_GB2312" w:eastAsia="仿宋_GB2312"/>
                <w:sz w:val="21"/>
              </w:rPr>
              <w:t>、项目实施必要性论述</w:t>
            </w:r>
          </w:p>
          <w:p>
            <w:pPr>
              <w:pStyle w:val="null3"/>
              <w:spacing w:before="105" w:after="30"/>
              <w:jc w:val="both"/>
            </w:pPr>
            <w:r>
              <w:rPr>
                <w:rFonts w:ascii="仿宋_GB2312" w:hAnsi="仿宋_GB2312" w:cs="仿宋_GB2312" w:eastAsia="仿宋_GB2312"/>
                <w:sz w:val="21"/>
              </w:rPr>
              <w:t>加快构建国家水网，是党中央、国务院作出的保障国家水安全的重大战略部署，是今后一个时期水利工作的重中之重。编制水网规划是落实</w:t>
            </w:r>
            <w:r>
              <w:rPr>
                <w:rFonts w:ascii="仿宋_GB2312" w:hAnsi="仿宋_GB2312" w:cs="仿宋_GB2312" w:eastAsia="仿宋_GB2312"/>
                <w:sz w:val="21"/>
              </w:rPr>
              <w:t>“节水优先、空间均衡、系统治理、两手发力”治水思路，引领区域水利高质量发展的具体实践。</w:t>
            </w:r>
          </w:p>
          <w:p>
            <w:pPr>
              <w:pStyle w:val="null3"/>
              <w:spacing w:before="105" w:after="30"/>
              <w:jc w:val="both"/>
            </w:pPr>
            <w:r>
              <w:rPr>
                <w:rFonts w:ascii="仿宋_GB2312" w:hAnsi="仿宋_GB2312" w:cs="仿宋_GB2312" w:eastAsia="仿宋_GB2312"/>
                <w:sz w:val="21"/>
              </w:rPr>
              <w:t>二</w:t>
            </w:r>
            <w:r>
              <w:rPr>
                <w:rFonts w:ascii="仿宋_GB2312" w:hAnsi="仿宋_GB2312" w:cs="仿宋_GB2312" w:eastAsia="仿宋_GB2312"/>
                <w:sz w:val="21"/>
              </w:rPr>
              <w:t>、实施依据</w:t>
            </w:r>
          </w:p>
          <w:p>
            <w:pPr>
              <w:pStyle w:val="null3"/>
              <w:spacing w:before="105" w:after="30"/>
              <w:jc w:val="both"/>
            </w:pPr>
            <w:r>
              <w:rPr>
                <w:rFonts w:ascii="仿宋_GB2312" w:hAnsi="仿宋_GB2312" w:cs="仿宋_GB2312" w:eastAsia="仿宋_GB2312"/>
                <w:sz w:val="21"/>
              </w:rPr>
              <w:t>水利部《关于实施国家水网重大工程的指导意见》（水规计〔</w:t>
            </w:r>
            <w:r>
              <w:rPr>
                <w:rFonts w:ascii="仿宋_GB2312" w:hAnsi="仿宋_GB2312" w:cs="仿宋_GB2312" w:eastAsia="仿宋_GB2312"/>
                <w:sz w:val="21"/>
              </w:rPr>
              <w:t>2021〕411号）和《关于加快推进省级水网建设的指导意见》、中共中央国务院关于印发《国家水网规划建设纲要》的通知、省水利厅《关于做好陕西水网规划编制工作的通知》（陕水规计发〔2022〕31号）。</w:t>
            </w:r>
          </w:p>
          <w:p>
            <w:pPr>
              <w:pStyle w:val="null3"/>
              <w:spacing w:before="105" w:after="30"/>
              <w:jc w:val="both"/>
            </w:pPr>
            <w:r>
              <w:rPr>
                <w:rFonts w:ascii="仿宋_GB2312" w:hAnsi="仿宋_GB2312" w:cs="仿宋_GB2312" w:eastAsia="仿宋_GB2312"/>
                <w:sz w:val="21"/>
              </w:rPr>
              <w:t>三</w:t>
            </w:r>
            <w:r>
              <w:rPr>
                <w:rFonts w:ascii="仿宋_GB2312" w:hAnsi="仿宋_GB2312" w:cs="仿宋_GB2312" w:eastAsia="仿宋_GB2312"/>
                <w:sz w:val="21"/>
              </w:rPr>
              <w:t>、工作任务</w:t>
            </w:r>
          </w:p>
          <w:p>
            <w:pPr>
              <w:pStyle w:val="null3"/>
              <w:spacing w:before="105" w:after="30"/>
              <w:jc w:val="both"/>
            </w:pPr>
            <w:r>
              <w:rPr>
                <w:rFonts w:ascii="仿宋_GB2312" w:hAnsi="仿宋_GB2312" w:cs="仿宋_GB2312" w:eastAsia="仿宋_GB2312"/>
                <w:sz w:val="21"/>
              </w:rPr>
              <w:t>（一）工作范围</w:t>
            </w:r>
          </w:p>
          <w:p>
            <w:pPr>
              <w:pStyle w:val="null3"/>
              <w:spacing w:before="105" w:after="30"/>
              <w:jc w:val="both"/>
            </w:pPr>
            <w:r>
              <w:rPr>
                <w:rFonts w:ascii="仿宋_GB2312" w:hAnsi="仿宋_GB2312" w:cs="仿宋_GB2312" w:eastAsia="仿宋_GB2312"/>
                <w:sz w:val="21"/>
              </w:rPr>
              <w:t>铜川市印台</w:t>
            </w:r>
            <w:r>
              <w:rPr>
                <w:rFonts w:ascii="仿宋_GB2312" w:hAnsi="仿宋_GB2312" w:cs="仿宋_GB2312" w:eastAsia="仿宋_GB2312"/>
                <w:sz w:val="21"/>
              </w:rPr>
              <w:t>区全域。</w:t>
            </w:r>
          </w:p>
          <w:p>
            <w:pPr>
              <w:pStyle w:val="null3"/>
              <w:spacing w:before="105" w:after="30"/>
              <w:jc w:val="both"/>
            </w:pPr>
            <w:r>
              <w:rPr>
                <w:rFonts w:ascii="仿宋_GB2312" w:hAnsi="仿宋_GB2312" w:cs="仿宋_GB2312" w:eastAsia="仿宋_GB2312"/>
                <w:sz w:val="21"/>
              </w:rPr>
              <w:t>（二）主要任务</w:t>
            </w:r>
          </w:p>
          <w:p>
            <w:pPr>
              <w:pStyle w:val="null3"/>
              <w:spacing w:before="105" w:after="30"/>
              <w:jc w:val="both"/>
            </w:pPr>
            <w:r>
              <w:rPr>
                <w:rFonts w:ascii="仿宋_GB2312" w:hAnsi="仿宋_GB2312" w:cs="仿宋_GB2312" w:eastAsia="仿宋_GB2312"/>
                <w:sz w:val="21"/>
              </w:rPr>
              <w:t>进行现场查勘调研，全面摸清</w:t>
            </w:r>
            <w:r>
              <w:rPr>
                <w:rFonts w:ascii="仿宋_GB2312" w:hAnsi="仿宋_GB2312" w:cs="仿宋_GB2312" w:eastAsia="仿宋_GB2312"/>
                <w:sz w:val="21"/>
              </w:rPr>
              <w:t>印台区</w:t>
            </w:r>
            <w:r>
              <w:rPr>
                <w:rFonts w:ascii="仿宋_GB2312" w:hAnsi="仿宋_GB2312" w:cs="仿宋_GB2312" w:eastAsia="仿宋_GB2312"/>
                <w:sz w:val="21"/>
              </w:rPr>
              <w:t>情、水情，掌握水利基础设施建设、水利管理工作现状及存在问题，着眼系统分析经济社会高质量发展和生态文明建设对水网建设的需求，围绕重大战略部署，立足保障防洪安全、供水安全和生态安全，明确水网建设布局，重点规划供水安全保障、水旱灾害防御、水生态保护修复、数字孪生水网建设、体制机制建设五项重点任务，衔接省级、市级水网，积极融入和更好服务全省</w:t>
            </w:r>
            <w:r>
              <w:rPr>
                <w:rFonts w:ascii="仿宋_GB2312" w:hAnsi="仿宋_GB2312" w:cs="仿宋_GB2312" w:eastAsia="仿宋_GB2312"/>
                <w:sz w:val="21"/>
              </w:rPr>
              <w:t>“一张网”。</w:t>
            </w:r>
          </w:p>
          <w:p>
            <w:pPr>
              <w:pStyle w:val="null3"/>
              <w:spacing w:before="105" w:after="30"/>
              <w:jc w:val="both"/>
            </w:pPr>
            <w:r>
              <w:rPr>
                <w:rFonts w:ascii="仿宋_GB2312" w:hAnsi="仿宋_GB2312" w:cs="仿宋_GB2312" w:eastAsia="仿宋_GB2312"/>
                <w:sz w:val="21"/>
              </w:rPr>
              <w:t>供水安全保障。在分析制定节水目标、节水潜力、节水措施基础上，提出全区刚性合理用水需求，统筹谋划与陕西骨干网、市级水网衔接的重大工程、跨流域及跨区县的水资源配置工程、骨干调蓄工程和重点区域骨干输水通道建设，协同推进跨区域引调水工程建设。因地制宜做好灌区水源保障、骨干输水工程及灌区间的连通工程建设，加快推进大中型灌区续建配套与现代化改造。对县（市、区）城市应急备用和战略储备水源建设做出总体安排。</w:t>
            </w:r>
          </w:p>
          <w:p>
            <w:pPr>
              <w:pStyle w:val="null3"/>
              <w:spacing w:before="105" w:after="30"/>
              <w:jc w:val="both"/>
            </w:pPr>
            <w:r>
              <w:rPr>
                <w:rFonts w:ascii="仿宋_GB2312" w:hAnsi="仿宋_GB2312" w:cs="仿宋_GB2312" w:eastAsia="仿宋_GB2312"/>
                <w:sz w:val="21"/>
              </w:rPr>
              <w:t>水旱灾害防御。以涉及防洪保护对象的河流为主，在复核防洪排涝标准基础上，系统谋划防洪工程措施和非工程措施。规划河道整治、山洪沟治理、水库除险加固、水库清淤、城区易涝点治理等工程。</w:t>
            </w:r>
          </w:p>
          <w:p>
            <w:pPr>
              <w:pStyle w:val="null3"/>
              <w:spacing w:before="105" w:after="30"/>
              <w:jc w:val="both"/>
            </w:pPr>
            <w:r>
              <w:rPr>
                <w:rFonts w:ascii="仿宋_GB2312" w:hAnsi="仿宋_GB2312" w:cs="仿宋_GB2312" w:eastAsia="仿宋_GB2312"/>
                <w:sz w:val="21"/>
              </w:rPr>
              <w:t>水生态保护修复。以主要水源涵养区为重点，规划生态保护修复措施。提高水土流失治理标准，规划水保措施，保护水土资源。规划基本生态流量保障措施，因地制宜推进河流生态廊道建设，合理规划布局措施。构建全区水土保持生态网络体系，重点规划小流域综合治理工程、塬面保护工程、坡耕地水土流失治理与旧式梯田改造提升工程、生态清洁小流域建设工程、淤地坝建设工程、矿区开采区生态修复示范工程、城市水土保持示范工程和水系生态恢复水土保持建设工程等。提出水土保持监测、水土保持监督管理、科技支撑、信息化建设和水土保持文化等五大水土保持服务体系建设任务。</w:t>
            </w:r>
          </w:p>
          <w:p>
            <w:pPr>
              <w:pStyle w:val="null3"/>
              <w:spacing w:before="105" w:after="30"/>
              <w:jc w:val="both"/>
            </w:pPr>
            <w:r>
              <w:rPr>
                <w:rFonts w:ascii="仿宋_GB2312" w:hAnsi="仿宋_GB2312" w:cs="仿宋_GB2312" w:eastAsia="仿宋_GB2312"/>
                <w:sz w:val="21"/>
              </w:rPr>
              <w:t>数字孪生水网建设。规划完善水利信息化基础设施，全面推进水流态、水空间、水工程、水管理智能感知体系建设，系统构建透彻感知、全面互联、智能分析、精准</w:t>
            </w:r>
            <w:r>
              <w:rPr>
                <w:rFonts w:ascii="仿宋_GB2312" w:hAnsi="仿宋_GB2312" w:cs="仿宋_GB2312" w:eastAsia="仿宋_GB2312"/>
                <w:sz w:val="21"/>
              </w:rPr>
              <w:t>“四预”、智慧调度、调控有序的数字孪生水网，提高水网综合调度管理水平；强化预报、预警、预演、预案功能措施，推进水网应用系统建设，提升精准决策支持能力；按照工程全生命周期数字化、物联感知自动化、仿真计算智能化、协同共享网络化、调度控制智慧化的技术标准，推进已建水利工程智能化改造；升级完善水利网络安全体系，全面提升水利网络安全水平。</w:t>
            </w:r>
          </w:p>
          <w:p>
            <w:pPr>
              <w:pStyle w:val="null3"/>
              <w:spacing w:before="105" w:after="30"/>
              <w:jc w:val="both"/>
            </w:pPr>
            <w:r>
              <w:rPr>
                <w:rFonts w:ascii="仿宋_GB2312" w:hAnsi="仿宋_GB2312" w:cs="仿宋_GB2312" w:eastAsia="仿宋_GB2312"/>
                <w:sz w:val="21"/>
              </w:rPr>
              <w:t>体制机制建设。在发挥河湖长制作用、水工程建设管理运行、完善水权水价水市场、拓展投融资模式等方面，提出完善和健全水网投建管运体制机制的相关措施和保障水网良性运行的立法建议等。</w:t>
            </w:r>
          </w:p>
          <w:p>
            <w:pPr>
              <w:pStyle w:val="null3"/>
              <w:spacing w:before="105" w:after="30"/>
              <w:jc w:val="both"/>
            </w:pPr>
            <w:r>
              <w:rPr>
                <w:rFonts w:ascii="仿宋_GB2312" w:hAnsi="仿宋_GB2312" w:cs="仿宋_GB2312" w:eastAsia="仿宋_GB2312"/>
                <w:sz w:val="21"/>
              </w:rPr>
              <w:t>四</w:t>
            </w:r>
            <w:r>
              <w:rPr>
                <w:rFonts w:ascii="仿宋_GB2312" w:hAnsi="仿宋_GB2312" w:cs="仿宋_GB2312" w:eastAsia="仿宋_GB2312"/>
                <w:sz w:val="21"/>
              </w:rPr>
              <w:t>、预期成果</w:t>
            </w:r>
          </w:p>
          <w:p>
            <w:pPr>
              <w:pStyle w:val="null3"/>
              <w:spacing w:before="105" w:after="30"/>
              <w:jc w:val="both"/>
            </w:pPr>
            <w:r>
              <w:rPr>
                <w:rFonts w:ascii="仿宋_GB2312" w:hAnsi="仿宋_GB2312" w:cs="仿宋_GB2312" w:eastAsia="仿宋_GB2312"/>
                <w:sz w:val="21"/>
              </w:rPr>
              <w:t>（一）总报告</w:t>
            </w:r>
          </w:p>
          <w:p>
            <w:pPr>
              <w:pStyle w:val="null3"/>
              <w:spacing w:before="105" w:after="30"/>
              <w:jc w:val="both"/>
            </w:pPr>
            <w:r>
              <w:rPr>
                <w:rFonts w:ascii="仿宋_GB2312" w:hAnsi="仿宋_GB2312" w:cs="仿宋_GB2312" w:eastAsia="仿宋_GB2312"/>
                <w:sz w:val="21"/>
              </w:rPr>
              <w:t>《</w:t>
            </w:r>
            <w:r>
              <w:rPr>
                <w:rFonts w:ascii="仿宋_GB2312" w:hAnsi="仿宋_GB2312" w:cs="仿宋_GB2312" w:eastAsia="仿宋_GB2312"/>
                <w:sz w:val="21"/>
              </w:rPr>
              <w:t>印台区</w:t>
            </w:r>
            <w:r>
              <w:rPr>
                <w:rFonts w:ascii="仿宋_GB2312" w:hAnsi="仿宋_GB2312" w:cs="仿宋_GB2312" w:eastAsia="仿宋_GB2312"/>
                <w:sz w:val="21"/>
              </w:rPr>
              <w:t>水网建设规划》</w:t>
            </w:r>
          </w:p>
          <w:p>
            <w:pPr>
              <w:pStyle w:val="null3"/>
              <w:spacing w:before="105" w:after="30"/>
              <w:jc w:val="both"/>
            </w:pPr>
            <w:r>
              <w:rPr>
                <w:rFonts w:ascii="仿宋_GB2312" w:hAnsi="仿宋_GB2312" w:cs="仿宋_GB2312" w:eastAsia="仿宋_GB2312"/>
                <w:sz w:val="21"/>
              </w:rPr>
              <w:t>（二）其他成果</w:t>
            </w:r>
          </w:p>
          <w:p>
            <w:pPr>
              <w:pStyle w:val="null3"/>
              <w:spacing w:before="105" w:after="30"/>
              <w:jc w:val="both"/>
            </w:pPr>
            <w:r>
              <w:rPr>
                <w:rFonts w:ascii="仿宋_GB2312" w:hAnsi="仿宋_GB2312" w:cs="仿宋_GB2312" w:eastAsia="仿宋_GB2312"/>
                <w:sz w:val="21"/>
              </w:rPr>
              <w:t>形成规划项目库和相关图册</w:t>
            </w:r>
          </w:p>
          <w:p>
            <w:pPr>
              <w:pStyle w:val="null3"/>
              <w:spacing w:before="105" w:after="30"/>
              <w:jc w:val="both"/>
            </w:pPr>
            <w:r>
              <w:rPr>
                <w:rFonts w:ascii="仿宋_GB2312" w:hAnsi="仿宋_GB2312" w:cs="仿宋_GB2312" w:eastAsia="仿宋_GB2312"/>
                <w:sz w:val="21"/>
              </w:rPr>
              <w:t>五</w:t>
            </w:r>
            <w:r>
              <w:rPr>
                <w:rFonts w:ascii="仿宋_GB2312" w:hAnsi="仿宋_GB2312" w:cs="仿宋_GB2312" w:eastAsia="仿宋_GB2312"/>
                <w:sz w:val="21"/>
              </w:rPr>
              <w:t>、提交主要成果</w:t>
            </w:r>
          </w:p>
          <w:p>
            <w:pPr>
              <w:pStyle w:val="null3"/>
              <w:jc w:val="both"/>
            </w:pPr>
            <w:r>
              <w:rPr>
                <w:rFonts w:ascii="仿宋_GB2312" w:hAnsi="仿宋_GB2312" w:cs="仿宋_GB2312" w:eastAsia="仿宋_GB2312"/>
                <w:sz w:val="21"/>
              </w:rPr>
              <w:t>规划成果报告：</w:t>
            </w:r>
            <w:r>
              <w:rPr>
                <w:rFonts w:ascii="仿宋_GB2312" w:hAnsi="仿宋_GB2312" w:cs="仿宋_GB2312" w:eastAsia="仿宋_GB2312"/>
                <w:sz w:val="21"/>
              </w:rPr>
              <w:t>2</w:t>
            </w:r>
            <w:r>
              <w:rPr>
                <w:rFonts w:ascii="仿宋_GB2312" w:hAnsi="仿宋_GB2312" w:cs="仿宋_GB2312" w:eastAsia="仿宋_GB2312"/>
                <w:sz w:val="21"/>
              </w:rPr>
              <w:t>0套；电子版U盘资料：1套。</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按照采购服务要求供应商自行配置完成本项目所需人员。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按照采购服务要求供应商自行配置完成本项目所需设备。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铜川市印台区全域。</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报告通过审查</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为顺利推进政府采购电子化交易平台应用工作，供应商需要在线提交所有通过电子化交易平台实施的政府采购项目的响应文件，同时，线下提交纸质版响应文件，正本壹份、副本贰份、电子版壹份（U盘一份标明供应商名称，随正本密封）。若线上电子响应文件与纸质响应文件不一致的，以线上电子响应文件为准；若正本和副本不符，以正本为准。 2、线下递交文件时间：详见本项目竞争性磋商公告（即提交响应文件截止时间）； 3、线下递交文件地点：陕西省铜川市耀州区华原路与锦阳路交叉口（柳公权中学对面、光明眼镜行隔壁） 铜川耀城任禾项目管理有限公司。</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主要负责人）委托代理人参加投标时，应提供法定代表人（主要负责人）授权委托书；法定代表人（主要负责人）亲自参加投标时，应提供法定代表人（主要负责人）身份证明书；其他组织、自然人参加投标的，须出具参加投标的证明资料。</w:t>
            </w:r>
          </w:p>
        </w:tc>
        <w:tc>
          <w:tcPr>
            <w:tcW w:type="dxa" w:w="1661"/>
          </w:tcPr>
          <w:p>
            <w:pPr>
              <w:pStyle w:val="null3"/>
            </w:pPr>
            <w:r>
              <w:rPr>
                <w:rFonts w:ascii="仿宋_GB2312" w:hAnsi="仿宋_GB2312" w:cs="仿宋_GB2312" w:eastAsia="仿宋_GB2312"/>
              </w:rPr>
              <w:t>法定代表人证明书及法定代表人授权委托书 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的单位出具经审计的2023年或2024年年度的财务审计报告（包括报告正文、资产负债表、利润表、现金流量表及所有者权益变动表（无所有者权益表的提供书面说明）、附注、会计师事务所营业执照及注册会计师执业证书，报告正文应有会计师事务所公章，2个注册会计师的签字和盖章）；事业法人提供部门决算报告；或在开标日期前6个月内其基本开户银行出具的资信证明（附《基本存款账户信息》或《银行开户许可证》复印件）；或财政部门认可的政府采购专业担保机构出具的投标担保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依法缴纳税收的良好记录，缴费所属日期为投标截止时间前一年内已缴纳任意时段（投标截止时间当月不计入）的增值税（或企业所得税）缴费凭据或纳税的银行转账汇款单、对账单等；判定/在法规范围内不需提供的，应出具书面说明和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依法缴纳社会保障资金的良好记录，缴费所属日期为投标截止时间前一年内已缴纳任意时段（投标截止时间当月不计入）的根据银行转账汇款单或社保部门出具的缴纳社会保障金的凭证；判定/在法规范围内不需提供的，应出具书面说明和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供应商不得被“信用中国”网站（www.creditchina.gov.cn）列入失信被执行人和重大税收违法案件当事人名单人，不得被“中国政府采购网”（www.ccgp.gov.cn）列入政府采购严重违法失信行为记录名单。</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履行合同所必需的设备和专业技术能力的书面声明</w:t>
            </w:r>
          </w:p>
        </w:tc>
        <w:tc>
          <w:tcPr>
            <w:tcW w:type="dxa" w:w="3322"/>
          </w:tcPr>
          <w:p>
            <w:pPr>
              <w:pStyle w:val="null3"/>
            </w:pPr>
            <w:r>
              <w:rPr>
                <w:rFonts w:ascii="仿宋_GB2312" w:hAnsi="仿宋_GB2312" w:cs="仿宋_GB2312" w:eastAsia="仿宋_GB2312"/>
              </w:rPr>
              <w:t>提供履行合同所必需的设备和专业技术能力的书面声明。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具备行政主管部门颁发的工程设计水利行业乙级及以上资质。</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拟派项目负责人须具备水利类相关专业中级及以上职称。</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本项目不接受联合体磋商，单位负责人为同一人或者存在直接控股、管理关系的不同单位，不得参加同一合同项下的政府采购活动，为采购项目提供整体设计、规范编制或者项目管理、监理、检测等服务的供应商，不得再参加该采购项目。</w:t>
            </w:r>
          </w:p>
        </w:tc>
        <w:tc>
          <w:tcPr>
            <w:tcW w:type="dxa" w:w="1661"/>
          </w:tcPr>
          <w:p>
            <w:pPr>
              <w:pStyle w:val="null3"/>
            </w:pPr>
            <w:r>
              <w:rPr>
                <w:rFonts w:ascii="仿宋_GB2312" w:hAnsi="仿宋_GB2312" w:cs="仿宋_GB2312" w:eastAsia="仿宋_GB2312"/>
              </w:rPr>
              <w:t>供应商资格证明文件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 中小企业声明函 技术、商务偏离表 其他投标人认为需要提供的资料 报价表 响应文件封面 项目业绩 法定代表人证明书及法定代表人授权委托书 残疾人福利性单位声明函 服务方案 符合政府采购政策的承诺书 标的清单 响应函 监狱企业的证明文件 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竞争性磋商响应文件的签署盖章：按竞争性磋商文件要求相应位置加盖公章，法定代表人或其授权代表人的签字齐全并加盖公章；（2）报价唯一：只能有一个有效报价，不得提交选择性报价，且报价不超过采购预算和最高限价中的任何一个。</w:t>
            </w:r>
          </w:p>
        </w:tc>
        <w:tc>
          <w:tcPr>
            <w:tcW w:type="dxa" w:w="1661"/>
          </w:tcPr>
          <w:p>
            <w:pPr>
              <w:pStyle w:val="null3"/>
            </w:pPr>
            <w:r>
              <w:rPr>
                <w:rFonts w:ascii="仿宋_GB2312" w:hAnsi="仿宋_GB2312" w:cs="仿宋_GB2312" w:eastAsia="仿宋_GB2312"/>
              </w:rPr>
              <w:t>分项报价表 中小企业声明函 技术、商务偏离表 其他投标人认为需要提供的资料 响应文件封面 项目业绩 法定代表人证明书及法定代表人授权委托书 残疾人福利性单位声明函 服务方案 符合政府采购政策的承诺书 标的清单 响应函 监狱企业的证明文件 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竞争性磋商响应文件内容：要求必须响应的内容齐全、无遗漏</w:t>
            </w:r>
          </w:p>
        </w:tc>
        <w:tc>
          <w:tcPr>
            <w:tcW w:type="dxa" w:w="1661"/>
          </w:tcPr>
          <w:p>
            <w:pPr>
              <w:pStyle w:val="null3"/>
            </w:pPr>
            <w:r>
              <w:rPr>
                <w:rFonts w:ascii="仿宋_GB2312" w:hAnsi="仿宋_GB2312" w:cs="仿宋_GB2312" w:eastAsia="仿宋_GB2312"/>
              </w:rPr>
              <w:t>分项报价表 中小企业声明函 技术、商务偏离表 其他投标人认为需要提供的资料 响应文件封面 项目业绩 法定代表人证明书及法定代表人授权委托书 残疾人福利性单位声明函 服务方案 符合政府采购政策的承诺书 标的清单 响应函 监狱企业的证明文件 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竞争性磋商响应文件的响应程度审查</w:t>
            </w:r>
          </w:p>
        </w:tc>
        <w:tc>
          <w:tcPr>
            <w:tcW w:type="dxa" w:w="3322"/>
          </w:tcPr>
          <w:p>
            <w:pPr>
              <w:pStyle w:val="null3"/>
            </w:pPr>
            <w:r>
              <w:rPr>
                <w:rFonts w:ascii="仿宋_GB2312" w:hAnsi="仿宋_GB2312" w:cs="仿宋_GB2312" w:eastAsia="仿宋_GB2312"/>
              </w:rPr>
              <w:t>（1）竞争性磋商文件响应程度：要求全面响应，不能有任何采购人不能接受的附加条件；（2）拟提供的服务要求：应满足竞争性磋商文件提出的技术、商务和服务要求。（3）投标有效期：应满足竞争性磋商文件中的规定；（4）合同履行期限：应满足竞争性磋商文件中的规定。</w:t>
            </w:r>
          </w:p>
        </w:tc>
        <w:tc>
          <w:tcPr>
            <w:tcW w:type="dxa" w:w="1661"/>
          </w:tcPr>
          <w:p>
            <w:pPr>
              <w:pStyle w:val="null3"/>
            </w:pPr>
            <w:r>
              <w:rPr>
                <w:rFonts w:ascii="仿宋_GB2312" w:hAnsi="仿宋_GB2312" w:cs="仿宋_GB2312" w:eastAsia="仿宋_GB2312"/>
              </w:rPr>
              <w:t>分项报价表 中小企业声明函 技术、商务偏离表 其他投标人认为需要提供的资料 响应文件封面 项目业绩 法定代表人证明书及法定代表人授权委托书 残疾人福利性单位声明函 服务方案 符合政府采购政策的承诺书 标的清单 响应函 监狱企业的证明文件 供应商资格证明文件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详细评审85.0000分</w:t>
            </w:r>
          </w:p>
          <w:p>
            <w:pPr>
              <w:pStyle w:val="null3"/>
            </w:pPr>
            <w:r>
              <w:rPr>
                <w:rFonts w:ascii="仿宋_GB2312" w:hAnsi="仿宋_GB2312" w:cs="仿宋_GB2312" w:eastAsia="仿宋_GB2312"/>
              </w:rPr>
              <w:t>报价得分15.0000分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规划方案及内容</w:t>
            </w:r>
          </w:p>
        </w:tc>
        <w:tc>
          <w:tcPr>
            <w:tcW w:type="dxa" w:w="2492"/>
          </w:tcPr>
          <w:p>
            <w:pPr>
              <w:pStyle w:val="null3"/>
            </w:pPr>
            <w:r>
              <w:rPr>
                <w:rFonts w:ascii="仿宋_GB2312" w:hAnsi="仿宋_GB2312" w:cs="仿宋_GB2312" w:eastAsia="仿宋_GB2312"/>
              </w:rPr>
              <w:t>1、对项目规划背景、规划意义、总体思路、规划范围、期限及规划原则的认知解读。（0-10 分） 完整准确阐述项目的规划背景，总体认知解读充分，得6-10分； 较准确的阐述项目的规划背景，总体认知解读较充分，得3-6 分； 阐述项目的规划背景不准确，总体认知解读不充分，得 0-3分。 2、相关工作基础掌握情况（0-10 分） 对工作任务理解深刻，现状、主要内容、提交成果等基础情况了解深入，相关基础工作准备充分得 6-10 分； 对任务理解一般，现状、主要内容、提交成果等基础情况不够了解，相关基础工作准备一般得 3-6 分； 对任务理解不够透彻，现状、主要内容、提交成果等基础情况了解不够具体充分，基本没有基础工作准备得 0-3 分； 3、整体规划方案（0-10分） 重点难点分析准确到位、解决措施合理、制定的技术方案内容完整、表述清晰、引导实施可行性强、全面性高得6-10分； 重点难点分析较准确到位、解决措施较合理、制定的技术方案内容较完整、表述较清晰、引导实施可行性较强、全面性较高得3-6 分； 重点难点分析不准确、解决措施基本合理，制定的技术方案内容不完整、表述不清晰、引导实施可行性不强、全面性不高得0-3 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成果文件质量、安全及服务保证措施</w:t>
            </w:r>
          </w:p>
        </w:tc>
        <w:tc>
          <w:tcPr>
            <w:tcW w:type="dxa" w:w="2492"/>
          </w:tcPr>
          <w:p>
            <w:pPr>
              <w:pStyle w:val="null3"/>
            </w:pPr>
            <w:r>
              <w:rPr>
                <w:rFonts w:ascii="仿宋_GB2312" w:hAnsi="仿宋_GB2312" w:cs="仿宋_GB2312" w:eastAsia="仿宋_GB2312"/>
              </w:rPr>
              <w:t>质量、安全目标明确、体系健全、保证措施切实可行得11-20分，质量、安全目标基本明确、体系基本健全、保证措施基本可行得1-10分，缺项得0分。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项目进度计划及保证措施</w:t>
            </w:r>
          </w:p>
        </w:tc>
        <w:tc>
          <w:tcPr>
            <w:tcW w:type="dxa" w:w="2492"/>
          </w:tcPr>
          <w:p>
            <w:pPr>
              <w:pStyle w:val="null3"/>
            </w:pPr>
            <w:r>
              <w:rPr>
                <w:rFonts w:ascii="仿宋_GB2312" w:hAnsi="仿宋_GB2312" w:cs="仿宋_GB2312" w:eastAsia="仿宋_GB2312"/>
              </w:rPr>
              <w:t>进度计划满足要求，节点清晰，控制措施合理得4-5分；进度计划基本满足要求，节点基本清晰，控制措施基本合理得1-3分；缺项得0分。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投标人针对本项目制定的服务期限、服务内容、服务承诺是否满足要求，是否合理、全面。 1.服务期限满足采购人要求、服务内容合理，服务承诺全面，得5分； 2.服务期限较能满足采购人要求、服务内容较合理，服务承诺较全面，得3分； 3.服务期限基本满足采购人要求、服务内容一般，服务承诺一般，得1分； 4.无或其它情况不得分。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拟派项目人员</w:t>
            </w:r>
          </w:p>
        </w:tc>
        <w:tc>
          <w:tcPr>
            <w:tcW w:type="dxa" w:w="2492"/>
          </w:tcPr>
          <w:p>
            <w:pPr>
              <w:pStyle w:val="null3"/>
            </w:pPr>
            <w:r>
              <w:rPr>
                <w:rFonts w:ascii="仿宋_GB2312" w:hAnsi="仿宋_GB2312" w:cs="仿宋_GB2312" w:eastAsia="仿宋_GB2312"/>
              </w:rPr>
              <w:t>技术负责人为高级工程师或以上职称得3分；中级职称得2分；缺项及低于中级职称得0分。 项目配套人员： 中级职称及以上每提供1人得1分，最高6分，缺项得0分。 项目配套人员：每具备一名注册土木工程师（水利水电工程）得2分，最高6分，缺项得0分。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供应商提供2022年1月至今的同类型业绩（以合同为准），每提供一份得2分，最高得10分，未提供得0分。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项目业绩</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报价得分：价格分采用低价优先法计算，即满足磋商文件要求且最后报价最低的供应商的价格为磋商基准价，其价格分为满分。其他供应商的价格分统一按照下列公式计算：磋商报价得分=（磋商基准价/最后磋商报价）×15</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w:t>
            </w:r>
          </w:p>
          <w:p>
            <w:pPr>
              <w:pStyle w:val="null3"/>
            </w:pPr>
            <w:r>
              <w:rPr>
                <w:rFonts w:ascii="仿宋_GB2312" w:hAnsi="仿宋_GB2312" w:cs="仿宋_GB2312" w:eastAsia="仿宋_GB2312"/>
              </w:rPr>
              <w:t>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分项报价表 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详见附件：法定代表人证明书及法定代表人授权委托书</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详见附件：技术、商务偏离表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详见附件：项目业绩</w:t>
      </w:r>
    </w:p>
    <w:p>
      <w:pPr>
        <w:pStyle w:val="null3"/>
        <w:ind w:firstLine="960"/>
      </w:pPr>
      <w:r>
        <w:rPr>
          <w:rFonts w:ascii="仿宋_GB2312" w:hAnsi="仿宋_GB2312" w:cs="仿宋_GB2312" w:eastAsia="仿宋_GB2312"/>
        </w:rPr>
        <w:t>详见附件：符合政府采购政策的承诺书</w:t>
      </w:r>
    </w:p>
    <w:p>
      <w:pPr>
        <w:pStyle w:val="null3"/>
        <w:ind w:firstLine="960"/>
      </w:pPr>
      <w:r>
        <w:rPr>
          <w:rFonts w:ascii="仿宋_GB2312" w:hAnsi="仿宋_GB2312" w:cs="仿宋_GB2312" w:eastAsia="仿宋_GB2312"/>
        </w:rPr>
        <w:t>详见附件：其他投标人认为需要提供的资料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