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版本号：SXBH-ZFCG-2025-03920250515001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果业品牌宣传项目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SXBH-ZFCG-2025-039</w:t>
      </w:r>
      <w:r>
        <w:br/>
      </w:r>
      <w:r>
        <w:br/>
      </w:r>
      <w:r>
        <w:br/>
      </w:r>
    </w:p>
    <w:p>
      <w:pPr>
        <w:pStyle w:val="null3"/>
        <w:jc w:val="center"/>
        <w:outlineLvl w:val="2"/>
      </w:pPr>
      <w:r>
        <w:rPr>
          <w:rFonts w:ascii="仿宋_GB2312" w:hAnsi="仿宋_GB2312" w:cs="仿宋_GB2312" w:eastAsia="仿宋_GB2312"/>
          <w:sz w:val="28"/>
          <w:b/>
        </w:rPr>
        <w:t>铜川市印台区果业发展中心</w:t>
      </w:r>
    </w:p>
    <w:p>
      <w:pPr>
        <w:pStyle w:val="null3"/>
        <w:jc w:val="center"/>
        <w:outlineLvl w:val="2"/>
      </w:pPr>
      <w:r>
        <w:rPr>
          <w:rFonts w:ascii="仿宋_GB2312" w:hAnsi="仿宋_GB2312" w:cs="仿宋_GB2312" w:eastAsia="仿宋_GB2312"/>
          <w:sz w:val="28"/>
          <w:b/>
        </w:rPr>
        <w:t>陕西北衡全项目咨询有限公司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陕西北衡全项目咨询有限公司</w:t>
      </w:r>
      <w:r>
        <w:rPr>
          <w:rFonts w:ascii="仿宋_GB2312" w:hAnsi="仿宋_GB2312" w:cs="仿宋_GB2312" w:eastAsia="仿宋_GB2312"/>
        </w:rPr>
        <w:t>（以下简称“代理机构”）受</w:t>
      </w:r>
      <w:r>
        <w:rPr>
          <w:rFonts w:ascii="仿宋_GB2312" w:hAnsi="仿宋_GB2312" w:cs="仿宋_GB2312" w:eastAsia="仿宋_GB2312"/>
        </w:rPr>
        <w:t>铜川市印台区果业发展中心</w:t>
      </w:r>
      <w:r>
        <w:rPr>
          <w:rFonts w:ascii="仿宋_GB2312" w:hAnsi="仿宋_GB2312" w:cs="仿宋_GB2312" w:eastAsia="仿宋_GB2312"/>
        </w:rPr>
        <w:t>委托，拟对</w:t>
      </w:r>
      <w:r>
        <w:rPr>
          <w:rFonts w:ascii="仿宋_GB2312" w:hAnsi="仿宋_GB2312" w:cs="仿宋_GB2312" w:eastAsia="仿宋_GB2312"/>
        </w:rPr>
        <w:t>果业品牌宣传项目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SXBH-ZFCG-2025-039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果业品牌宣传项目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果业品牌宣传项目,制作高铁宣传广告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采购包1（果业品牌宣传项目）：属于专门面向中小企业采购。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2、具有良好的商业信誉：供应商不得为“中国执行信息公开网[http://zxgk.court.gov.cn/]” 失信被执行人；不得为“信用中国(www.creditchina.gov.cn)”中列入重大税收违法失信主体、严重失信主体名单查询的供应商及政府采购严重违法失信行为记录名单的供应商；不得列入“国家企业信用信息公示系统（http://www.gsxt.gov.cn/index.html）行政处罚信息、经营异常名录信息及严重违法失信企业名单信息；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3、有依法缴纳税收的良好记录：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有依法缴纳社会保障资金的良好记录：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5、具有履行合同所必需的设备和专业技术能力：提供具有履行合同所必需的设备和专业技术能力的书面声明；供应商需在项目电子化交易系统中按要求上传并进行电子签章。</w:t>
      </w:r>
    </w:p>
    <w:p>
      <w:pPr>
        <w:pStyle w:val="null3"/>
      </w:pPr>
      <w:r>
        <w:rPr>
          <w:rFonts w:ascii="仿宋_GB2312" w:hAnsi="仿宋_GB2312" w:cs="仿宋_GB2312" w:eastAsia="仿宋_GB2312"/>
        </w:rPr>
        <w:t>6、参加政府采购活动前三年内，在经营活动中没有重大违法记录或被起诉：参加政府采购活动前三年内，在经营活动中没有重大违法记录或被起诉的书面声明；供应商需在项目电子化交易系统中按要求上传并进行电子签章。</w:t>
      </w:r>
    </w:p>
    <w:p>
      <w:pPr>
        <w:pStyle w:val="null3"/>
      </w:pPr>
      <w:r>
        <w:rPr>
          <w:rFonts w:ascii="仿宋_GB2312" w:hAnsi="仿宋_GB2312" w:cs="仿宋_GB2312" w:eastAsia="仿宋_GB2312"/>
        </w:rPr>
        <w:t>7、法定代表人证明书或法定代表人授权书：法定代表人（负责人）直接参加磋商的，须出具法定代表人（负责人）身份证明及身份证复印件，并与营业执照上信息一致；法定代表人授权代表参加磋商的，须出具法定代表人授权书及授权代表身份证复印件；供应商需在项目电子化交易系统中按要求上传相应证明文件并进行电子签章。</w:t>
      </w:r>
    </w:p>
    <w:p>
      <w:pPr>
        <w:pStyle w:val="null3"/>
      </w:pPr>
      <w:r>
        <w:rPr>
          <w:rFonts w:ascii="仿宋_GB2312" w:hAnsi="仿宋_GB2312" w:cs="仿宋_GB2312" w:eastAsia="仿宋_GB2312"/>
        </w:rPr>
        <w:t>8、本项目不接受联合体磋商：非联合体磋商承诺书；供应商需在项目电子化交易系统中按要求上传并进行电子签章。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铜川市印台区果业发展中心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印台区同官路80号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铜川市印台区果业发展中心经办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0919-2680799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陕西北衡全项目咨询有限公司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陕西省铜川市印台区南苑社区惠民佳苑8号楼2楼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17691172318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铜川市印台区果业发展中心</w:t>
      </w:r>
      <w:r>
        <w:rPr>
          <w:rFonts w:ascii="仿宋_GB2312" w:hAnsi="仿宋_GB2312" w:cs="仿宋_GB2312" w:eastAsia="仿宋_GB2312"/>
        </w:rPr>
        <w:t>和</w:t>
      </w:r>
      <w:r>
        <w:rPr>
          <w:rFonts w:ascii="仿宋_GB2312" w:hAnsi="仿宋_GB2312" w:cs="仿宋_GB2312" w:eastAsia="仿宋_GB2312"/>
        </w:rPr>
        <w:t>陕西北衡全项目咨询有限公司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铜川市印台区果业发展中心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陕西北衡全项目咨询有限公司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铜川市印台区果业发展中心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陕西北衡全项目咨询有限公司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陕西北衡全项目咨询有限公司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联系人：刘瑞华</w:t>
      </w:r>
    </w:p>
    <w:p>
      <w:pPr>
        <w:pStyle w:val="null3"/>
      </w:pPr>
      <w:r>
        <w:rPr>
          <w:rFonts w:ascii="仿宋_GB2312" w:hAnsi="仿宋_GB2312" w:cs="仿宋_GB2312" w:eastAsia="仿宋_GB2312"/>
        </w:rPr>
        <w:t>联系电话：17691172318</w:t>
      </w:r>
    </w:p>
    <w:p>
      <w:pPr>
        <w:pStyle w:val="null3"/>
      </w:pPr>
      <w:r>
        <w:rPr>
          <w:rFonts w:ascii="仿宋_GB2312" w:hAnsi="仿宋_GB2312" w:cs="仿宋_GB2312" w:eastAsia="仿宋_GB2312"/>
        </w:rPr>
        <w:t>地址：陕西省铜川市印台区南苑社区惠民佳苑8号楼2楼</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果业品牌宣传，制作高铁宣传广告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果业品牌宣传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标的名称：果业品牌宣传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4"/>
                <w:shd w:fill="FFFFFF" w:val="clear"/>
              </w:rPr>
              <w:t>一、项目概况</w:t>
            </w:r>
          </w:p>
          <w:p>
            <w:pPr>
              <w:pStyle w:val="null3"/>
              <w:ind w:firstLine="560"/>
              <w:jc w:val="both"/>
            </w:pPr>
            <w:r>
              <w:rPr>
                <w:rFonts w:ascii="仿宋_GB2312" w:hAnsi="仿宋_GB2312" w:cs="仿宋_GB2312" w:eastAsia="仿宋_GB2312"/>
                <w:sz w:val="24"/>
                <w:shd w:fill="FFFFFF" w:val="clear"/>
              </w:rPr>
              <w:t>为了更好的宣传“印台苹果”品牌，提升“印台苹果”</w:t>
            </w:r>
            <w:r>
              <w:rPr>
                <w:rFonts w:ascii="仿宋_GB2312" w:hAnsi="仿宋_GB2312" w:cs="仿宋_GB2312" w:eastAsia="仿宋_GB2312"/>
                <w:sz w:val="24"/>
                <w:shd w:fill="FFFFFF" w:val="clear"/>
              </w:rPr>
              <w:t>品牌</w:t>
            </w:r>
            <w:r>
              <w:rPr>
                <w:rFonts w:ascii="仿宋_GB2312" w:hAnsi="仿宋_GB2312" w:cs="仿宋_GB2312" w:eastAsia="仿宋_GB2312"/>
                <w:sz w:val="24"/>
                <w:shd w:fill="FFFFFF" w:val="clear"/>
              </w:rPr>
              <w:t>知名度、</w:t>
            </w:r>
            <w:r>
              <w:rPr>
                <w:rFonts w:ascii="仿宋_GB2312" w:hAnsi="仿宋_GB2312" w:cs="仿宋_GB2312" w:eastAsia="仿宋_GB2312"/>
                <w:sz w:val="24"/>
                <w:shd w:fill="FFFFFF" w:val="clear"/>
              </w:rPr>
              <w:t>美誉度，</w:t>
            </w:r>
            <w:r>
              <w:rPr>
                <w:rFonts w:ascii="仿宋_GB2312" w:hAnsi="仿宋_GB2312" w:cs="仿宋_GB2312" w:eastAsia="仿宋_GB2312"/>
                <w:sz w:val="24"/>
                <w:shd w:fill="FFFFFF" w:val="clear"/>
              </w:rPr>
              <w:t>推动</w:t>
            </w:r>
            <w:r>
              <w:rPr>
                <w:rFonts w:ascii="仿宋_GB2312" w:hAnsi="仿宋_GB2312" w:cs="仿宋_GB2312" w:eastAsia="仿宋_GB2312"/>
                <w:sz w:val="24"/>
                <w:shd w:fill="FFFFFF" w:val="clear"/>
              </w:rPr>
              <w:t>印台</w:t>
            </w:r>
            <w:r>
              <w:rPr>
                <w:rFonts w:ascii="仿宋_GB2312" w:hAnsi="仿宋_GB2312" w:cs="仿宋_GB2312" w:eastAsia="仿宋_GB2312"/>
                <w:sz w:val="24"/>
                <w:shd w:fill="FFFFFF" w:val="clear"/>
              </w:rPr>
              <w:t>果业现代化</w:t>
            </w:r>
            <w:r>
              <w:rPr>
                <w:rFonts w:ascii="仿宋_GB2312" w:hAnsi="仿宋_GB2312" w:cs="仿宋_GB2312" w:eastAsia="仿宋_GB2312"/>
                <w:sz w:val="24"/>
                <w:shd w:fill="FFFFFF" w:val="clear"/>
              </w:rPr>
              <w:t>高质量发展，促进果农</w:t>
            </w:r>
            <w:r>
              <w:rPr>
                <w:rFonts w:ascii="仿宋_GB2312" w:hAnsi="仿宋_GB2312" w:cs="仿宋_GB2312" w:eastAsia="仿宋_GB2312"/>
                <w:sz w:val="24"/>
                <w:shd w:fill="FFFFFF" w:val="clear"/>
              </w:rPr>
              <w:t>增收</w:t>
            </w:r>
            <w:r>
              <w:rPr>
                <w:rFonts w:ascii="仿宋_GB2312" w:hAnsi="仿宋_GB2312" w:cs="仿宋_GB2312" w:eastAsia="仿宋_GB2312"/>
                <w:sz w:val="24"/>
                <w:shd w:fill="FFFFFF" w:val="clear"/>
              </w:rPr>
              <w:t>致富</w:t>
            </w:r>
            <w:r>
              <w:rPr>
                <w:rFonts w:ascii="仿宋_GB2312" w:hAnsi="仿宋_GB2312" w:cs="仿宋_GB2312" w:eastAsia="仿宋_GB2312"/>
                <w:sz w:val="24"/>
                <w:shd w:fill="FFFFFF" w:val="clear"/>
              </w:rPr>
              <w:t>。现计划在高铁上发布“印台苹果”广告。</w:t>
            </w:r>
          </w:p>
          <w:p>
            <w:pPr>
              <w:pStyle w:val="null3"/>
              <w:ind w:firstLine="560"/>
              <w:jc w:val="both"/>
            </w:pP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工作内容</w:t>
            </w:r>
          </w:p>
          <w:p>
            <w:pPr>
              <w:pStyle w:val="null3"/>
              <w:ind w:firstLine="560"/>
              <w:jc w:val="both"/>
            </w:pPr>
            <w:r>
              <w:rPr>
                <w:rFonts w:ascii="仿宋_GB2312" w:hAnsi="仿宋_GB2312" w:cs="仿宋_GB2312" w:eastAsia="仿宋_GB2312"/>
                <w:sz w:val="24"/>
                <w:shd w:fill="FFFFFF" w:val="clear"/>
              </w:rPr>
              <w:t>供应商应按照相关要求原创设计“印台苹果”广告，以</w:t>
            </w:r>
            <w:r>
              <w:rPr>
                <w:rFonts w:ascii="仿宋_GB2312" w:hAnsi="仿宋_GB2312" w:cs="仿宋_GB2312" w:eastAsia="仿宋_GB2312"/>
                <w:sz w:val="24"/>
                <w:shd w:fill="FFFFFF" w:val="clear"/>
              </w:rPr>
              <w:t>高铁</w:t>
            </w:r>
            <w:r>
              <w:rPr>
                <w:rFonts w:ascii="仿宋_GB2312" w:hAnsi="仿宋_GB2312" w:cs="仿宋_GB2312" w:eastAsia="仿宋_GB2312"/>
                <w:sz w:val="24"/>
                <w:shd w:fill="FFFFFF" w:val="clear"/>
              </w:rPr>
              <w:t>行李架贴形式发布在西安北-北京西高铁上，数量不低于</w:t>
            </w:r>
            <w:r>
              <w:rPr>
                <w:rFonts w:ascii="仿宋_GB2312" w:hAnsi="仿宋_GB2312" w:cs="仿宋_GB2312" w:eastAsia="仿宋_GB2312"/>
                <w:sz w:val="24"/>
                <w:shd w:fill="FFFFFF" w:val="clear"/>
              </w:rPr>
              <w:t>120个</w:t>
            </w:r>
            <w:r>
              <w:rPr>
                <w:rFonts w:ascii="仿宋_GB2312" w:hAnsi="仿宋_GB2312" w:cs="仿宋_GB2312" w:eastAsia="仿宋_GB2312"/>
                <w:sz w:val="24"/>
                <w:shd w:fill="FFFFFF" w:val="clear"/>
              </w:rPr>
              <w:t>，发布周期为6个月。</w:t>
            </w:r>
          </w:p>
          <w:p>
            <w:pPr>
              <w:pStyle w:val="null3"/>
              <w:ind w:firstLine="560"/>
              <w:jc w:val="both"/>
            </w:pPr>
            <w:r>
              <w:rPr>
                <w:rFonts w:ascii="仿宋_GB2312" w:hAnsi="仿宋_GB2312" w:cs="仿宋_GB2312" w:eastAsia="仿宋_GB2312"/>
                <w:sz w:val="24"/>
                <w:shd w:fill="FFFFFF" w:val="clear"/>
              </w:rPr>
              <w:t>三、技术要求</w:t>
            </w:r>
          </w:p>
          <w:p>
            <w:pPr>
              <w:pStyle w:val="null3"/>
              <w:ind w:firstLine="560"/>
              <w:jc w:val="both"/>
            </w:pPr>
            <w:r>
              <w:rPr>
                <w:rFonts w:ascii="仿宋_GB2312" w:hAnsi="仿宋_GB2312" w:cs="仿宋_GB2312" w:eastAsia="仿宋_GB2312"/>
                <w:sz w:val="24"/>
                <w:shd w:fill="FFFFFF" w:val="clear"/>
              </w:rPr>
              <w:t>1.发布周期：6个月。</w:t>
            </w:r>
          </w:p>
          <w:p>
            <w:pPr>
              <w:pStyle w:val="null3"/>
              <w:ind w:firstLine="560"/>
              <w:jc w:val="both"/>
            </w:pPr>
            <w:r>
              <w:rPr>
                <w:rFonts w:ascii="仿宋_GB2312" w:hAnsi="仿宋_GB2312" w:cs="仿宋_GB2312" w:eastAsia="仿宋_GB2312"/>
                <w:sz w:val="24"/>
                <w:shd w:fill="FFFFFF" w:val="clear"/>
              </w:rPr>
              <w:t>2.车型车次：动车组380B型车（一组），西安北—北京西线路。</w:t>
            </w:r>
          </w:p>
          <w:p>
            <w:pPr>
              <w:pStyle w:val="null3"/>
              <w:ind w:firstLine="560"/>
              <w:jc w:val="both"/>
            </w:pPr>
            <w:r>
              <w:rPr>
                <w:rFonts w:ascii="仿宋_GB2312" w:hAnsi="仿宋_GB2312" w:cs="仿宋_GB2312" w:eastAsia="仿宋_GB2312"/>
                <w:sz w:val="24"/>
                <w:shd w:fill="FFFFFF" w:val="clear"/>
              </w:rPr>
              <w:t>3.广告形式：</w:t>
            </w:r>
            <w:r>
              <w:rPr>
                <w:rFonts w:ascii="仿宋_GB2312" w:hAnsi="仿宋_GB2312" w:cs="仿宋_GB2312" w:eastAsia="仿宋_GB2312"/>
                <w:sz w:val="24"/>
                <w:shd w:fill="FFFFFF" w:val="clear"/>
              </w:rPr>
              <w:t>高铁</w:t>
            </w:r>
            <w:r>
              <w:rPr>
                <w:rFonts w:ascii="仿宋_GB2312" w:hAnsi="仿宋_GB2312" w:cs="仿宋_GB2312" w:eastAsia="仿宋_GB2312"/>
                <w:sz w:val="24"/>
                <w:shd w:fill="FFFFFF" w:val="clear"/>
              </w:rPr>
              <w:t>行李架贴广告。</w:t>
            </w:r>
          </w:p>
          <w:p>
            <w:pPr>
              <w:pStyle w:val="null3"/>
              <w:ind w:firstLine="560"/>
              <w:jc w:val="both"/>
            </w:pPr>
            <w:r>
              <w:rPr>
                <w:rFonts w:ascii="仿宋_GB2312" w:hAnsi="仿宋_GB2312" w:cs="仿宋_GB2312" w:eastAsia="仿宋_GB2312"/>
                <w:sz w:val="24"/>
                <w:shd w:fill="FFFFFF" w:val="clear"/>
              </w:rPr>
              <w:t>4.媒体尺寸：</w:t>
            </w:r>
            <w:r>
              <w:rPr>
                <w:rFonts w:ascii="仿宋_GB2312" w:hAnsi="仿宋_GB2312" w:cs="仿宋_GB2312" w:eastAsia="仿宋_GB2312"/>
                <w:sz w:val="24"/>
                <w:shd w:fill="FFFFFF" w:val="clear"/>
              </w:rPr>
              <w:t>包括但不限于69*31cm、168*31cm、199*31cm</w:t>
            </w:r>
            <w:r>
              <w:rPr>
                <w:rFonts w:ascii="仿宋_GB2312" w:hAnsi="仿宋_GB2312" w:cs="仿宋_GB2312" w:eastAsia="仿宋_GB2312"/>
                <w:sz w:val="24"/>
                <w:shd w:fill="FFFFFF" w:val="clear"/>
              </w:rPr>
              <w:t>。</w:t>
            </w:r>
          </w:p>
          <w:p>
            <w:pPr>
              <w:pStyle w:val="null3"/>
              <w:ind w:firstLine="560"/>
              <w:jc w:val="both"/>
            </w:pPr>
            <w:r>
              <w:rPr>
                <w:rFonts w:ascii="仿宋_GB2312" w:hAnsi="仿宋_GB2312" w:cs="仿宋_GB2312" w:eastAsia="仿宋_GB2312"/>
                <w:sz w:val="24"/>
                <w:shd w:fill="FFFFFF" w:val="clear"/>
              </w:rPr>
              <w:t>5.媒体数量：不低于</w:t>
            </w:r>
            <w:r>
              <w:rPr>
                <w:rFonts w:ascii="仿宋_GB2312" w:hAnsi="仿宋_GB2312" w:cs="仿宋_GB2312" w:eastAsia="仿宋_GB2312"/>
                <w:sz w:val="24"/>
                <w:shd w:fill="FFFFFF" w:val="clear"/>
              </w:rPr>
              <w:t>120</w:t>
            </w:r>
            <w:r>
              <w:rPr>
                <w:rFonts w:ascii="仿宋_GB2312" w:hAnsi="仿宋_GB2312" w:cs="仿宋_GB2312" w:eastAsia="仿宋_GB2312"/>
                <w:sz w:val="24"/>
                <w:shd w:fill="FFFFFF" w:val="clear"/>
              </w:rPr>
              <w:t>个。</w:t>
            </w:r>
          </w:p>
          <w:p>
            <w:pPr>
              <w:pStyle w:val="null3"/>
              <w:ind w:firstLine="560"/>
              <w:jc w:val="both"/>
            </w:pPr>
            <w:r>
              <w:rPr>
                <w:rFonts w:ascii="仿宋_GB2312" w:hAnsi="仿宋_GB2312" w:cs="仿宋_GB2312" w:eastAsia="仿宋_GB2312"/>
                <w:sz w:val="24"/>
                <w:shd w:fill="FFFFFF" w:val="clear"/>
              </w:rPr>
              <w:t>6.质量保证：供应商应确保广告发布期内，广告内容完整，安装正确，无明显损坏。如出现损坏应在72小时内予以修复。</w:t>
            </w:r>
          </w:p>
          <w:p>
            <w:pPr>
              <w:pStyle w:val="null3"/>
              <w:ind w:firstLine="560"/>
              <w:jc w:val="both"/>
            </w:pPr>
            <w:r>
              <w:rPr>
                <w:rFonts w:ascii="仿宋_GB2312" w:hAnsi="仿宋_GB2312" w:cs="仿宋_GB2312" w:eastAsia="仿宋_GB2312"/>
                <w:sz w:val="24"/>
                <w:shd w:fill="FFFFFF" w:val="clear"/>
              </w:rPr>
              <w:t>四、成果要求</w:t>
            </w:r>
          </w:p>
          <w:p>
            <w:pPr>
              <w:pStyle w:val="null3"/>
              <w:ind w:firstLine="560"/>
              <w:jc w:val="both"/>
            </w:pPr>
            <w:r>
              <w:rPr>
                <w:rFonts w:ascii="仿宋_GB2312" w:hAnsi="仿宋_GB2312" w:cs="仿宋_GB2312" w:eastAsia="仿宋_GB2312"/>
                <w:sz w:val="24"/>
                <w:shd w:fill="FFFFFF" w:val="clear"/>
              </w:rPr>
              <w:t>供应商在广告发布后48小时内，向甲方提供广告发布实景图实拍照片</w:t>
            </w:r>
            <w:r>
              <w:rPr>
                <w:rFonts w:ascii="仿宋_GB2312" w:hAnsi="仿宋_GB2312" w:cs="仿宋_GB2312" w:eastAsia="仿宋_GB2312"/>
                <w:sz w:val="24"/>
                <w:shd w:fill="FFFFFF" w:val="clear"/>
              </w:rPr>
              <w:t>及视频</w:t>
            </w:r>
            <w:r>
              <w:rPr>
                <w:rFonts w:ascii="仿宋_GB2312" w:hAnsi="仿宋_GB2312" w:cs="仿宋_GB2312" w:eastAsia="仿宋_GB2312"/>
                <w:sz w:val="24"/>
                <w:shd w:fill="FFFFFF" w:val="clear"/>
              </w:rPr>
              <w:t>，照片应当至少采用三个不同角度拍摄，拍摄的照片应当同时包含当日报纸以及广告图片，以确保广告发布时间真实。</w:t>
            </w:r>
          </w:p>
          <w:p>
            <w:pPr>
              <w:pStyle w:val="null3"/>
              <w:ind w:firstLine="560"/>
              <w:jc w:val="both"/>
            </w:pPr>
            <w:r>
              <w:rPr>
                <w:rFonts w:ascii="仿宋_GB2312" w:hAnsi="仿宋_GB2312" w:cs="仿宋_GB2312" w:eastAsia="仿宋_GB2312"/>
                <w:sz w:val="24"/>
                <w:shd w:fill="FFFFFF" w:val="clear"/>
              </w:rPr>
              <w:t>五、成果文件电子版</w:t>
            </w:r>
          </w:p>
          <w:p>
            <w:pPr>
              <w:pStyle w:val="null3"/>
              <w:jc w:val="both"/>
            </w:pPr>
            <w:r>
              <w:rPr>
                <w:rFonts w:ascii="仿宋_GB2312" w:hAnsi="仿宋_GB2312" w:cs="仿宋_GB2312" w:eastAsia="仿宋_GB2312"/>
                <w:sz w:val="24"/>
                <w:shd w:fill="FFFFFF" w:val="clear"/>
              </w:rPr>
              <w:t>成果需符合相关审批部门的要求，提供完整的成果展示电子文件一套（U盘），并配合完成后续审批手续（须满足采购人需求）。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人员配置达到完全满足本项目相关需求。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设施设备达到完全满足本项目相关需求。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动车组380B型车（一组），西安北—北京西线路。</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达到国家及行业相关验收标准。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项目完成并验收合格交付后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成交供应商未按合同要求执行、质量不能满足要求，采购人可根据成交供应商的违约情况，调整成交供应商的服务范围或取消其服务资格，并终止合同，并对供方违约行为进行追究，同时按《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意一年经会计师事务所或审计机构审计的财务审计报告（包括资产负债表、现金流量表、利润表、所有者权益变动表、附注、审计机构资质证书、财务情况说明等全部内容，成立时间至提交响应文件截止时间不足一年的可提供成立后任意时段的资产负债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供应商不得为“中国执行信息公开网[http://zxgk.court.gov.cn/]” 失信被执行人；不得为“信用中国(www.creditchina.gov.cn)”中列入重大税收违法失信主体、严重失信主体名单查询的供应商及政府采购严重违法失信行为记录名单的供应商；不得列入“国家企业信用信息公示系统（http://www.gsxt.gov.cn/index.html）行政处罚信息、经营异常名录信息及严重违法失信企业名单信息；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提供增值税、营业税、企业所得税中的至少一种），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提供具有履行合同所必需的设备和专业技术能力的书面声明；供应商需在项目电子化交易系统中按要求上传并进行电子签章。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参加政府采购活动前三年内，在经营活动中没有重大违法记录或被起诉</w:t>
            </w:r>
          </w:p>
        </w:tc>
        <w:tc>
          <w:tcPr>
            <w:tcW w:type="dxa" w:w="3322"/>
          </w:tcPr>
          <w:p>
            <w:pPr>
              <w:pStyle w:val="null3"/>
            </w:pPr>
            <w:r>
              <w:rPr>
                <w:rFonts w:ascii="仿宋_GB2312" w:hAnsi="仿宋_GB2312" w:cs="仿宋_GB2312" w:eastAsia="仿宋_GB2312"/>
              </w:rPr>
              <w:t>参加政府采购活动前三年内，在经营活动中没有重大违法记录或被起诉的书面声明；供应商需在项目电子化交易系统中按要求上传并进行电子签章。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负责人）直接参加磋商的，须出具法定代表人（负责人）身份证明及身份证复印件，并与营业执照上信息一致；法定代表人授权代表参加磋商的，须出具法定代表人授权书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法人授权书.docx 法人证明书.docx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非联合体磋商承诺书；供应商需在项目电子化交易系统中按要求上传并进行电子签章。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供应商按照磋商文件要求上传响应文件</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供应商必须按照磋商文件的规定和要求在响应文件中指定的页面落款处加盖公章并由负责人或被授权人签名（或盖章），其余页面逐页盖公章，否则将作为无效协商响应处理。</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响应文件报价未超过最高限价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不得少于6个月</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A、供应商的响应报价有选择性报价或者磋商报价重新计算后超过本项目采购预算或者最高限价的； B、供应商未经过正常渠道领取磋商文件，或供应商名称与领取磋商文件时登记的供应商名称不符的； C、无磋商有效期或有效期达不到磋商文件要求的； D、供应商针对同一项目递交两份或多份内容不同的响应文件，未书面声明哪一份是有效的或出现选择性报价的； E、提供虚假资料；提供虚假资质、虚假技术指标证明材料、虚假证明（包括第三方提供的虚假证明）；出现虚假应答、承诺、声明的； F、供应商附加了采购单位难以接受的条件或条款的； G、供应商前期参与了本次项目方案设计的； H、在政府采购或其它重大项目履约过程中有不良记录或未能按期履约的； I、供应商使用虚假印章或印章无法证实为真实有效； J、谈判报价与市场价格偏离较大、低于成本、形成不正当竞争的； K、报价子目出现漏项或报价与要求不符的； L、供应商响应的采购范围及采购内容与磋商文件要求出现重大负偏差的； M、实质性内容不满足、未完全未响应磋商要求或擅自改动工程量清单的； N、供应商有串通参与磋商、行贿等违法行为的； O、响应文件的关键内容字迹模糊、无法辨认的； P、不符合法律、法规规定的其它实质性要求的。</w:t>
            </w:r>
          </w:p>
        </w:tc>
        <w:tc>
          <w:tcPr>
            <w:tcW w:type="dxa" w:w="1661"/>
          </w:tcPr>
          <w:p>
            <w:pPr>
              <w:pStyle w:val="null3"/>
            </w:pPr>
            <w:r>
              <w:rPr>
                <w:rFonts w:ascii="仿宋_GB2312" w:hAnsi="仿宋_GB2312" w:cs="仿宋_GB2312" w:eastAsia="仿宋_GB2312"/>
              </w:rPr>
              <w:t>法人证明书.docx 服务内容及服务邀请应答表 供应商类似项目业绩一览表.docx 中小企业声明函 商务应答表 供应商应提交的相关资格证明材料 报价表 响应文件封面 法人授权书.docx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经过有效性和符合性审核合格的供应商，其商务条款响应符合磋商文件最低要求的计7分。优于磋商文件要求的每项另加1分，最多加3分。不完全响应最低要求的计0分。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2021年1月1日起至今类似广告项目业绩证明材料，每提供1项类似业绩得2分，最多得10分。评审依据：附合同或中标通知书的复印件或扫描件并加盖供应商公章，时间以合同签订时间或中标通知书中体现的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 （1）提供针对本项目的整体策划方案，计0.1-3分，不提供不计分； （2）提供针对本项目的整体宣传方案，计0.1-3分，不提供不计分； （3）提供针对本项目的整体拍摄方案，计0.1-3分，不提供不计分； （4）提供针对本项目的拟产品的制作方案，计0.1-3分，不提供不计分； （5）提供针对本项目的拟设计简图，计0.1-3分，不提供不计分；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拟投入的设备设施</w:t>
            </w:r>
          </w:p>
        </w:tc>
        <w:tc>
          <w:tcPr>
            <w:tcW w:type="dxa" w:w="2492"/>
          </w:tcPr>
          <w:p>
            <w:pPr>
              <w:pStyle w:val="null3"/>
            </w:pPr>
            <w:r>
              <w:rPr>
                <w:rFonts w:ascii="仿宋_GB2312" w:hAnsi="仿宋_GB2312" w:cs="仿宋_GB2312" w:eastAsia="仿宋_GB2312"/>
              </w:rPr>
              <w:t>提供针对本项目的拟投入设备设施（包括但不限于拍摄设备3台、视频及图片制作设备2台、宣传产品制作设备1台、储备设备3台、印刷设备1台）并提供相关设备的设备照片、品牌型号、设备使用年份（从购买时算起），本项数量品类，使用年限等方面进行评审。评分标准：（1）未提供不得分；（2）设备设施种类不全计1分；设备使用年限在三年内，每个设备加1分，最多加5分； （3）设备设施种类齐全，数量不满足项目的需求计5分；设备使用年限在三年内，每个设备加1分，最多加5分；（4） 设备设施种类齐全或优于上述设备要求，数量满足项目的需求计10分；设备使用年限在三年内，每个设备加1分，最多加5分。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服务团队组成</w:t>
            </w:r>
          </w:p>
        </w:tc>
        <w:tc>
          <w:tcPr>
            <w:tcW w:type="dxa" w:w="2492"/>
          </w:tcPr>
          <w:p>
            <w:pPr>
              <w:pStyle w:val="null3"/>
            </w:pPr>
            <w:r>
              <w:rPr>
                <w:rFonts w:ascii="仿宋_GB2312" w:hAnsi="仿宋_GB2312" w:cs="仿宋_GB2312" w:eastAsia="仿宋_GB2312"/>
              </w:rPr>
              <w:t>人员配置情况:供应商有针对本项目拟投入的专业服务团队，提供人员配置汇总表及相关证件材料。 （1）项目负责人具有获奖证书或相关从业经验证明材料、学历证（应为设计相关专业）得2分； （2）项目负责人具有类似项目业绩经验（业绩资料中须体现项目负责人项目），每提供1份业绩资料证明材料得2分，最多得4分。 （3）根据拟投入项目团队名单及分工，需为独立的广告设计团队，具备较强的原创设计能力。每提供一位项目团队人员毕业证、获奖证书或相关从业经验证明材料得2分，最多得4分。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（1）提供针对本项目的项目进度计划，计0.1-3分，不提供不计分； （2）提供针对本项目的项目进度安排，计0.1-3分，不提供不计分；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（1）提供针对本项目详细的质量保证措施，计0.1-3分，不提供不计分； （2）提供针对本项目能有效地保障项目实施过程的衔接，保证成果质量，计0.1-3分，不提供不计分； （3）提供针对本项目的质量保证承诺，计0.1-3分，不提供不计分； （4）提供针对本项目的合同履行承诺，计0.1-3分，不提供不计分；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突发情况应急预案： （1）提供针对本项目的突发事件的应急响应能力，计0.1-3分，不提供不计分； （2）提供针对本项目的突发事件的应急预案和措施，计0.1-3分，不提供不计分；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 （1）提供针对本项目售后服务方案，计0.1-3分，不提供不计分； （2）提供针对本项目售后服务承诺，计0.1-3分，不提供不计分；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评审价为磋商基准价，其价格分为满分。其他供应商的价格分统一按照下列公式计算：有效报价得分=（磋商基准价/磋商评审价）×价格权值×100 备注：磋商评审价=有效最后磋商报价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详见附件：法人授权书.docx</w:t>
      </w:r>
    </w:p>
    <w:p>
      <w:pPr>
        <w:pStyle w:val="null3"/>
        <w:ind w:firstLine="960"/>
      </w:pPr>
      <w:r>
        <w:rPr>
          <w:rFonts w:ascii="仿宋_GB2312" w:hAnsi="仿宋_GB2312" w:cs="仿宋_GB2312" w:eastAsia="仿宋_GB2312"/>
        </w:rPr>
        <w:t>详见附件：法人证明书.docx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