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版本号：SXBH-ZFCG-2025-04820250530001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铜川市印台区农村供水水质提升项目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SXBH-ZFCG-2025-048</w:t>
      </w:r>
      <w:r>
        <w:br/>
      </w:r>
      <w:r>
        <w:br/>
      </w:r>
      <w:r>
        <w:br/>
      </w:r>
    </w:p>
    <w:p>
      <w:pPr>
        <w:pStyle w:val="null3"/>
        <w:jc w:val="center"/>
        <w:outlineLvl w:val="2"/>
      </w:pPr>
      <w:r>
        <w:rPr>
          <w:rFonts w:ascii="仿宋_GB2312" w:hAnsi="仿宋_GB2312" w:cs="仿宋_GB2312" w:eastAsia="仿宋_GB2312"/>
          <w:sz w:val="28"/>
          <w:b/>
        </w:rPr>
        <w:t>铜川市印台区水务局</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铜川市印台区水务局</w:t>
      </w:r>
      <w:r>
        <w:rPr>
          <w:rFonts w:ascii="仿宋_GB2312" w:hAnsi="仿宋_GB2312" w:cs="仿宋_GB2312" w:eastAsia="仿宋_GB2312"/>
        </w:rPr>
        <w:t>委托，拟对</w:t>
      </w:r>
      <w:r>
        <w:rPr>
          <w:rFonts w:ascii="仿宋_GB2312" w:hAnsi="仿宋_GB2312" w:cs="仿宋_GB2312" w:eastAsia="仿宋_GB2312"/>
        </w:rPr>
        <w:t>铜川市印台区农村供水水质提升项目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铜川市印台区农村供水水质提升项目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铜川市印台区农村供水水质提升。具体详见招标文件采购内容。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采购包1（铜川市印台区农村供水水质提升项目）：属于专门面向中小企业采购。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p>
      <w:pPr>
        <w:pStyle w:val="null3"/>
      </w:pPr>
      <w:r>
        <w:rPr>
          <w:rFonts w:ascii="仿宋_GB2312" w:hAnsi="仿宋_GB2312" w:cs="仿宋_GB2312" w:eastAsia="仿宋_GB2312"/>
        </w:rPr>
        <w:t>4、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pPr>
      <w:r>
        <w:rPr>
          <w:rFonts w:ascii="仿宋_GB2312" w:hAnsi="仿宋_GB2312" w:cs="仿宋_GB2312" w:eastAsia="仿宋_GB2312"/>
        </w:rPr>
        <w:t>5、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提供查询截图）供应商需在项目电子化交易系统中按要求上传相应证明文件并进行电子签章。</w:t>
      </w:r>
    </w:p>
    <w:p>
      <w:pPr>
        <w:pStyle w:val="null3"/>
      </w:pPr>
      <w:r>
        <w:rPr>
          <w:rFonts w:ascii="仿宋_GB2312" w:hAnsi="仿宋_GB2312" w:cs="仿宋_GB2312" w:eastAsia="仿宋_GB2312"/>
        </w:rPr>
        <w:t>6、法定代表人证明书或法定代表人授权书：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9、非联合体投标：本项目不接受联合体投标；（提供声明）供应商需在项目电子化交易系统中按要求上传相应证明文件并进行电子签章。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陕西省铜川市印台区重兴北路122号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0919-2683110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陕西省铜川市印台区城关街道办事处南苑社区惠民佳苑8号楼2楼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王欢乐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13119219360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采购包1：1,489,980.00元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铜川市印台区水务局</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铜川市印台区水务局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联系人：王欢乐</w:t>
      </w:r>
    </w:p>
    <w:p>
      <w:pPr>
        <w:pStyle w:val="null3"/>
      </w:pPr>
      <w:r>
        <w:rPr>
          <w:rFonts w:ascii="仿宋_GB2312" w:hAnsi="仿宋_GB2312" w:cs="仿宋_GB2312" w:eastAsia="仿宋_GB2312"/>
        </w:rPr>
        <w:t>联系电话：13119219360</w:t>
      </w:r>
    </w:p>
    <w:p>
      <w:pPr>
        <w:pStyle w:val="null3"/>
      </w:pPr>
      <w:r>
        <w:rPr>
          <w:rFonts w:ascii="仿宋_GB2312" w:hAnsi="仿宋_GB2312" w:cs="仿宋_GB2312" w:eastAsia="仿宋_GB2312"/>
        </w:rPr>
        <w:t>地址：惠民佳苑八号楼二楼会议室（住房公积金隔壁楼梯间上二楼）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铜川市印台区农村供水水质提升。具体详见招标文件采购内容。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1,489,980.00</w:t>
      </w:r>
    </w:p>
    <w:p>
      <w:pPr>
        <w:pStyle w:val="null3"/>
      </w:pPr>
      <w:r>
        <w:rPr>
          <w:rFonts w:ascii="仿宋_GB2312" w:hAnsi="仿宋_GB2312" w:cs="仿宋_GB2312" w:eastAsia="仿宋_GB2312"/>
        </w:rPr>
        <w:t>采购包最高限价（元）: 1,489,980.00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次氯酸钠消毒设备</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right"/>
            </w:pPr>
            <w:r>
              <w:rPr>
                <w:rFonts w:ascii="仿宋_GB2312" w:hAnsi="仿宋_GB2312" w:cs="仿宋_GB2312" w:eastAsia="仿宋_GB2312"/>
              </w:rPr>
              <w:t>1,296,000.00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彩钢房</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31,500.00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电缆</w:t>
            </w:r>
          </w:p>
        </w:tc>
        <w:tc>
          <w:tcPr>
            <w:tcW w:type="dxa" w:w="831"/>
          </w:tcPr>
          <w:p>
            <w:pPr>
              <w:pStyle w:val="null3"/>
              <w:jc w:val="right"/>
            </w:pPr>
            <w:r>
              <w:rPr>
                <w:rFonts w:ascii="仿宋_GB2312" w:hAnsi="仿宋_GB2312" w:cs="仿宋_GB2312" w:eastAsia="仿宋_GB2312"/>
              </w:rPr>
              <w:t>2,187.00</w:t>
            </w:r>
          </w:p>
        </w:tc>
        <w:tc>
          <w:tcPr>
            <w:tcW w:type="dxa" w:w="831"/>
          </w:tcPr>
          <w:p>
            <w:pPr>
              <w:pStyle w:val="null3"/>
              <w:jc w:val="right"/>
            </w:pPr>
            <w:r>
              <w:rPr>
                <w:rFonts w:ascii="仿宋_GB2312" w:hAnsi="仿宋_GB2312" w:cs="仿宋_GB2312" w:eastAsia="仿宋_GB2312"/>
              </w:rPr>
              <w:t>87,480.00</w:t>
            </w:r>
          </w:p>
        </w:tc>
        <w:tc>
          <w:tcPr>
            <w:tcW w:type="dxa" w:w="831"/>
          </w:tcPr>
          <w:p>
            <w:pPr>
              <w:pStyle w:val="null3"/>
            </w:pPr>
            <w:r>
              <w:rPr>
                <w:rFonts w:ascii="仿宋_GB2312" w:hAnsi="仿宋_GB2312" w:cs="仿宋_GB2312" w:eastAsia="仿宋_GB2312"/>
              </w:rPr>
              <w:t>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消毒片</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片</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标的名称：次氯酸钠消毒设备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次氯酸钠发生器应包含以下模块：含有软水系统、</w:t>
            </w:r>
            <w:r>
              <w:rPr>
                <w:rFonts w:ascii="仿宋_GB2312" w:hAnsi="仿宋_GB2312" w:cs="仿宋_GB2312" w:eastAsia="仿宋_GB2312"/>
                <w:sz w:val="21"/>
                <w:b/>
              </w:rPr>
              <w:t>PLC手机APP远程操作系统、温控模块、排氢及气液分离模块、溶盐系统、稀盐水自动配比模块、次氯酸钠发生器系统、储存及加药模块、智能语音控制模块；</w:t>
            </w:r>
          </w:p>
          <w:p>
            <w:pPr>
              <w:pStyle w:val="null3"/>
              <w:jc w:val="left"/>
            </w:pPr>
            <w:r>
              <w:rPr>
                <w:rFonts w:ascii="仿宋_GB2312" w:hAnsi="仿宋_GB2312" w:cs="仿宋_GB2312" w:eastAsia="仿宋_GB2312"/>
                <w:sz w:val="21"/>
                <w:b/>
              </w:rPr>
              <w:t>设备参数：有效氯产量</w:t>
            </w:r>
            <w:r>
              <w:rPr>
                <w:rFonts w:ascii="仿宋_GB2312" w:hAnsi="仿宋_GB2312" w:cs="仿宋_GB2312" w:eastAsia="仿宋_GB2312"/>
                <w:sz w:val="21"/>
                <w:b/>
              </w:rPr>
              <w:t>50g/h，有效氯浓度≥4800mg/L，输入电压：220VAC/50Hz；</w:t>
            </w:r>
          </w:p>
          <w:p>
            <w:pPr>
              <w:pStyle w:val="null3"/>
              <w:jc w:val="both"/>
            </w:pPr>
            <w:r>
              <w:rPr>
                <w:rFonts w:ascii="仿宋_GB2312" w:hAnsi="仿宋_GB2312" w:cs="仿宋_GB2312" w:eastAsia="仿宋_GB2312"/>
                <w:sz w:val="21"/>
                <w:b/>
              </w:rPr>
              <w:t>其它功能：设备材质耐腐蚀性，外观简约美观，设备低耗高产，具备自动酸洗、定时酸洗功能。</w:t>
            </w:r>
          </w:p>
        </w:tc>
      </w:tr>
    </w:tbl>
    <w:p>
      <w:pPr>
        <w:pStyle w:val="null3"/>
      </w:pPr>
      <w:r>
        <w:rPr>
          <w:rFonts w:ascii="仿宋_GB2312" w:hAnsi="仿宋_GB2312" w:cs="仿宋_GB2312" w:eastAsia="仿宋_GB2312"/>
        </w:rPr>
        <w:t>标的名称：彩钢房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单间面积</w:t>
            </w:r>
            <w:r>
              <w:rPr>
                <w:rFonts w:ascii="仿宋_GB2312" w:hAnsi="仿宋_GB2312" w:cs="仿宋_GB2312" w:eastAsia="仿宋_GB2312"/>
                <w:sz w:val="21"/>
                <w:b/>
              </w:rPr>
              <w:t>5㎡，尺寸为2.5m×2.0m。</w:t>
            </w:r>
          </w:p>
        </w:tc>
      </w:tr>
    </w:tbl>
    <w:p>
      <w:pPr>
        <w:pStyle w:val="null3"/>
      </w:pPr>
      <w:r>
        <w:rPr>
          <w:rFonts w:ascii="仿宋_GB2312" w:hAnsi="仿宋_GB2312" w:cs="仿宋_GB2312" w:eastAsia="仿宋_GB2312"/>
        </w:rPr>
        <w:t>标的名称：电缆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4.0mm² 铜芯电缆，搭配熔断器，确保过载保护。</w:t>
            </w:r>
          </w:p>
        </w:tc>
      </w:tr>
    </w:tbl>
    <w:p>
      <w:pPr>
        <w:pStyle w:val="null3"/>
      </w:pPr>
      <w:r>
        <w:rPr>
          <w:rFonts w:ascii="仿宋_GB2312" w:hAnsi="仿宋_GB2312" w:cs="仿宋_GB2312" w:eastAsia="仿宋_GB2312"/>
        </w:rPr>
        <w:t>标的名称：消毒片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含氯消毒片：</w:t>
            </w:r>
            <w:r>
              <w:rPr>
                <w:rFonts w:ascii="仿宋_GB2312" w:hAnsi="仿宋_GB2312" w:cs="仿宋_GB2312" w:eastAsia="仿宋_GB2312"/>
                <w:sz w:val="21"/>
                <w:b/>
              </w:rPr>
              <w:t>1g/片，浓度10%~30%，满足GB/T43824-2024。</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中标后签订完合同付30%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安装调试验收合格后付剩余尾款70%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一年内设备出现任何问题免费更换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为顺利推进政府采购电子化交易平台应用工作，投标人需要在线提交所有通过电子化交易平台实施的政府采购项目的响应文件，同时，线下提交纸质响应文件正本壹份、副本壹份。 2、纸质响应文件正副本分别胶装，标明投标人名称密封递交，递交截止时间同在线递交电子响应文件截止时间一致，递交地址：铜川市印台区惠民佳苑 8 号楼 2 楼。（纸质响应文件可邮寄，邮件签收时间应为在线递交电子响应文件截止时间之前，邮寄地址：铜川市印台区惠民佳苑 8 号楼 2 楼，联系人：王欢乐，联系电话：0919-2700992）。3、若电子投标文件与纸质投标文件不一致的，以电子投标文件为准。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 ( 包括审计报告、资产负债表、利润表、现金流量表、所有者权益变动表、 附注等全部内容 , 成立时间至提交投标文件截止时间不足一年的可提供成立后任意时段的资产负债表)，或提交投标文件截止前六个 月内其基本存款账户开户银行出具的资信证明及基本存款账户信息；供应商需在项目电子化交易系统中按要求上传相应证明文件并进行电子签章。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提供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授权人身份证复印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或由法定代表人或被授权人签名（或盖章），其余页面逐页盖公章，否则将作为无效投标文件处理。磋商文件凡是要求法定代表人签名或盖章之处 ，非法人单位的负责人均参照执行。</w:t>
            </w:r>
          </w:p>
        </w:tc>
        <w:tc>
          <w:tcPr>
            <w:tcW w:type="dxa" w:w="1661"/>
          </w:tcPr>
          <w:p>
            <w:pPr>
              <w:pStyle w:val="null3"/>
            </w:pPr>
            <w:r>
              <w:rPr>
                <w:rFonts w:ascii="仿宋_GB2312" w:hAnsi="仿宋_GB2312" w:cs="仿宋_GB2312" w:eastAsia="仿宋_GB2312"/>
              </w:rPr>
              <w:t>技术方案.docx 开标一览表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A、供应商的响应报价有选择性报价或者响应报价重新计算后超过本项目采购预算或者最高限价的；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I、实质性内容不满足、未完全未响应招标要求或擅自改动技术要求的； G、响应文件的关键内容或字迹模糊、无法辨认的； K、不符合法律、法规规定的其它实质性要求的。</w:t>
            </w:r>
          </w:p>
        </w:tc>
        <w:tc>
          <w:tcPr>
            <w:tcW w:type="dxa" w:w="1661"/>
          </w:tcPr>
          <w:p>
            <w:pPr>
              <w:pStyle w:val="null3"/>
            </w:pPr>
            <w:r>
              <w:rPr>
                <w:rFonts w:ascii="仿宋_GB2312" w:hAnsi="仿宋_GB2312" w:cs="仿宋_GB2312" w:eastAsia="仿宋_GB2312"/>
              </w:rPr>
              <w:t>技术方案.docx 开标一览表 法人证明书.docx 供应商类似项目业绩一览表.docx 中小企业声明函 商务应答表 投标人应提交的相关资格证明材料 法人授权书.docx 产品技术参数表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经过有效性和符合性审核合格的投标人，其商务条款响应符合招标文件最低要求的计6分 。优于招标文件要求的每项另加2分，最多加2分。不完全响应的计0分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投标人具有同类项目业绩，投标文件中提供中标通知书或合同复印件加盖公章，每提供一个得2分，本项最高得10分。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供应商针对本项目提供完整的实施方案内容包括：①项目组织及供货实施方案②安装调试方案③验收方案④投入人力、财力，物力调配及保障措施。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三、赋分标准（满分18分） ①项目组织及供货实施方案：每满足1项评分标准得1.5分，满分4.5分；存在缺陷扣（0.1-4.5分），不提供不得分； ②安装调试方案：每满足1项评分标准得1.5分，满分4.5分；存在缺陷扣（0.1-4.5分），不提供不得分； ③验收方案：每满足1项评分标准得1.5分，满分4.5分；存在缺陷扣（0.1-4.5分），不提供不得分； ④投入人力、财力，物力调配及保障措施：每满足1项评分标准得1.5分，满分4.5分；存在缺陷扣（0.1-4.5分），不提供不得分；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产品合法来源证明</w:t>
            </w:r>
          </w:p>
        </w:tc>
        <w:tc>
          <w:tcPr>
            <w:tcW w:type="dxa" w:w="2492"/>
          </w:tcPr>
          <w:p>
            <w:pPr>
              <w:pStyle w:val="null3"/>
            </w:pPr>
            <w:r>
              <w:rPr>
                <w:rFonts w:ascii="仿宋_GB2312" w:hAnsi="仿宋_GB2312" w:cs="仿宋_GB2312" w:eastAsia="仿宋_GB2312"/>
              </w:rPr>
              <w:t>提供产品合法来源证明材料（厂家授权或功能截图或检测报告）。每提供一个产品得0.5分，计满1分为止。</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供应产品完全满足采购文件技术要求的，得10分。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供应商针对本项目制定售后服务及培训方案，方案内容包括：①售后服务机构及售后服务人员配置、售后服务电话、售后响应时间②产品维护保养方案③售后服务保障措施及承诺④培训计划、方式、内容、培训反馈及总结。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三、赋分标准（满分12分） ①售后服务机构及售后服务人员配置、售后服务电话、售后响应时间：每满足1项评分标准得1分，满分3分；存在缺陷扣（0.1-3分），不提供不得分； ②产品维护保养方案：每满足1项评分标准得1分，满分3分；存在缺陷扣（0.1-3分），不提供不得分； ③售后服务保障措施及承诺：每满足1项评分标准得1分，满分3分；存在缺陷扣（0.1-3分），不提供不得分； ④培训计划、方式、内容、培训反馈及总结：每满足1项评分标准得1分，满分3分；存在缺陷扣（0.1-3分），不提供不得分；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供应商应提供在陕西省境内的售后服务中心的名称、地址、电话、联系人、维修人员名单 。（以上完全提供得2分，不完全提供不得分）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质量保证及应急预案措施</w:t>
            </w:r>
          </w:p>
        </w:tc>
        <w:tc>
          <w:tcPr>
            <w:tcW w:type="dxa" w:w="2492"/>
          </w:tcPr>
          <w:p>
            <w:pPr>
              <w:pStyle w:val="null3"/>
            </w:pPr>
            <w:r>
              <w:rPr>
                <w:rFonts w:ascii="仿宋_GB2312" w:hAnsi="仿宋_GB2312" w:cs="仿宋_GB2312" w:eastAsia="仿宋_GB2312"/>
              </w:rPr>
              <w:t>一、评审内容 供应商针对本项目实际需求，提供质量及应急预案措施，内容包括：①质量管理②质量保障措施③针对突发状况的应急预案措施。 二、评分标准： 1、完整性：方案全面完整，对评审内容中的各项要求有详细描述及说明，思路清晰，条理清楚； 2、可实施性：切合本项目实际情况内容合理，步骤清晰，可操作性强； 3、针对性：方案能够紧扣本项目实际情况，内容科学合理，符合项目实际要求。 三、赋分标准（满分9分） ①质量管理：每满足1项评分标准得1分，满分3分；存在缺陷扣（0.1-3分），不提供不得分； ②质量保障措施：每满足1项评分标准得1分，满分3分；存在缺陷扣（0.1-3分），不提供不得分； ③针对突发状况的应急预案措施：每满足1项评分标准得1分，满分3分；存在缺陷扣（0.1-3分），不提供不得分； 缺陷是指方案不完整或不详细或内容不合理或步骤不清晰或可行性不强或内容表述前后不一致或针对性不强。</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 准价／投标评审价)×100×价格权值 注：符合招标文件规定的中小企业、监狱企业、 残疾人福利性单位优惠条件的投标人，价格给予10%的扣除，用扣除后的价格参与评审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