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版本号：HX-TC-2025-1920250612001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铜川市印台区合凤高速雷家沟连接线至印台农业高新技术产业示范区公路工程设计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HX-TC-2025-19</w:t>
      </w:r>
      <w:r>
        <w:br/>
      </w:r>
      <w:r>
        <w:br/>
      </w:r>
      <w:r>
        <w:br/>
      </w:r>
    </w:p>
    <w:p>
      <w:pPr>
        <w:pStyle w:val="null3"/>
        <w:jc w:val="center"/>
        <w:outlineLvl w:val="2"/>
      </w:pPr>
      <w:r>
        <w:rPr>
          <w:rFonts w:ascii="仿宋_GB2312" w:hAnsi="仿宋_GB2312" w:cs="仿宋_GB2312" w:eastAsia="仿宋_GB2312"/>
          <w:sz w:val="28"/>
          <w:b/>
        </w:rPr>
        <w:t>铜川市印台区交通运输局</w:t>
      </w:r>
    </w:p>
    <w:p>
      <w:pPr>
        <w:pStyle w:val="null3"/>
        <w:jc w:val="center"/>
        <w:outlineLvl w:val="2"/>
      </w:pPr>
      <w:r>
        <w:rPr>
          <w:rFonts w:ascii="仿宋_GB2312" w:hAnsi="仿宋_GB2312" w:cs="仿宋_GB2312" w:eastAsia="仿宋_GB2312"/>
          <w:sz w:val="28"/>
          <w:b/>
        </w:rPr>
        <w:t>华兴天成项目咨询有限公司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华兴天成项目咨询有限公司</w:t>
      </w:r>
      <w:r>
        <w:rPr>
          <w:rFonts w:ascii="仿宋_GB2312" w:hAnsi="仿宋_GB2312" w:cs="仿宋_GB2312" w:eastAsia="仿宋_GB2312"/>
        </w:rPr>
        <w:t>（以下简称“代理机构”）受</w:t>
      </w:r>
      <w:r>
        <w:rPr>
          <w:rFonts w:ascii="仿宋_GB2312" w:hAnsi="仿宋_GB2312" w:cs="仿宋_GB2312" w:eastAsia="仿宋_GB2312"/>
        </w:rPr>
        <w:t>铜川市印台区交通运输局</w:t>
      </w:r>
      <w:r>
        <w:rPr>
          <w:rFonts w:ascii="仿宋_GB2312" w:hAnsi="仿宋_GB2312" w:cs="仿宋_GB2312" w:eastAsia="仿宋_GB2312"/>
        </w:rPr>
        <w:t>委托，拟对</w:t>
      </w:r>
      <w:r>
        <w:rPr>
          <w:rFonts w:ascii="仿宋_GB2312" w:hAnsi="仿宋_GB2312" w:cs="仿宋_GB2312" w:eastAsia="仿宋_GB2312"/>
        </w:rPr>
        <w:t>铜川市印台区合凤高速雷家沟连接线至印台农业高新技术产业示范区公路工程设计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HX-TC-2025-19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铜川市印台区合凤高速雷家沟连接线至印台农业高新技术产业示范区公路工程设计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路线全长 1.755公里，按双向两车道二级公路标准建设，路基宽度10米，设计速度40公里 / 小时，汽车荷载等级公路- I级。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采购包1（公路工程设计）：属于专门面向中小企业采购。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为合法注册的法人或其他组织或自然人，提供营业执照（或事业法人证）；自然人的身份证明；供应商需在项目电子化交易系统中按要求上传相应证明文件并进行电子签章；</w:t>
      </w:r>
    </w:p>
    <w:p>
      <w:pPr>
        <w:pStyle w:val="null3"/>
      </w:pPr>
      <w:r>
        <w:rPr>
          <w:rFonts w:ascii="仿宋_GB2312" w:hAnsi="仿宋_GB2312" w:cs="仿宋_GB2312" w:eastAsia="仿宋_GB2312"/>
        </w:rPr>
        <w:t>2、资质要求：投标人须同时具备：①有效的公路行业（公路）专业设计乙级及以上资质；②有效的工程勘察综合资质或工程勘察专业类（工程测量、岩土工程）专业乙级及以上资质。供应商需在项目电子化交易系统中按要求上传相应证明文件并进行电子签章；</w:t>
      </w:r>
    </w:p>
    <w:p>
      <w:pPr>
        <w:pStyle w:val="null3"/>
      </w:pPr>
      <w:r>
        <w:rPr>
          <w:rFonts w:ascii="仿宋_GB2312" w:hAnsi="仿宋_GB2312" w:cs="仿宋_GB2312" w:eastAsia="仿宋_GB2312"/>
        </w:rPr>
        <w:t>3、法定代表人授权书：法定代表人授权书及被授权人身份证（法定代表人直接参与，只须提交其身份证）；供应商需在项目电子化交易系统中按要求上传相应证明文件并进行电子签章；</w:t>
      </w:r>
    </w:p>
    <w:p>
      <w:pPr>
        <w:pStyle w:val="null3"/>
      </w:pPr>
      <w:r>
        <w:rPr>
          <w:rFonts w:ascii="仿宋_GB2312" w:hAnsi="仿宋_GB2312" w:cs="仿宋_GB2312" w:eastAsia="仿宋_GB2312"/>
        </w:rPr>
        <w:t>4、完税证明：供应商需提供截止至投标截止时间前六个月内任意一个月的税收缴纳缴费凭据；（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社保缴纳凭证：供应商需提供截止至投标截止时间前六个月内任意一个月的社保缴费凭据或社保机构开具的社会保险参保缴费情况证明；（依法不需要缴纳社会保障资金的供应商应提供相关证明）；供应商需在项目电子化交易系统中按要求上传相应证明文件并进行电子签章；</w:t>
      </w:r>
    </w:p>
    <w:p>
      <w:pPr>
        <w:pStyle w:val="null3"/>
      </w:pPr>
      <w:r>
        <w:rPr>
          <w:rFonts w:ascii="仿宋_GB2312" w:hAnsi="仿宋_GB2312" w:cs="仿宋_GB2312" w:eastAsia="仿宋_GB2312"/>
        </w:rPr>
        <w:t>6、无重大违法记录的书面声明：供应商参加政府采购活动前三年内在经营活动中没有重大违法记录的书面声明。（格式自拟）；供应商需在项目电子化交易系统中按要求上传相应证明文件并进行电子签章；</w:t>
      </w:r>
    </w:p>
    <w:p>
      <w:pPr>
        <w:pStyle w:val="null3"/>
      </w:pPr>
      <w:r>
        <w:rPr>
          <w:rFonts w:ascii="仿宋_GB2312" w:hAnsi="仿宋_GB2312" w:cs="仿宋_GB2312" w:eastAsia="仿宋_GB2312"/>
        </w:rPr>
        <w:t>7、履约承诺：提供具有履行合同所必需的设备和专业技术能力的承诺，供应商需在项目电子化交易系统中按要求上传相应证明文件并进行电子签章；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铜川市印台区交通运输局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铜川市印台区顺金南路48号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0919-4185259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华兴天成项目咨询有限公司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陕西省西安市雁塔区陕西省西安市高新区唐延路11号禾盛京广中心B座14层1403室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18149038707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铜川市印台区交通运输局</w:t>
      </w:r>
      <w:r>
        <w:rPr>
          <w:rFonts w:ascii="仿宋_GB2312" w:hAnsi="仿宋_GB2312" w:cs="仿宋_GB2312" w:eastAsia="仿宋_GB2312"/>
        </w:rPr>
        <w:t>和</w:t>
      </w:r>
      <w:r>
        <w:rPr>
          <w:rFonts w:ascii="仿宋_GB2312" w:hAnsi="仿宋_GB2312" w:cs="仿宋_GB2312" w:eastAsia="仿宋_GB2312"/>
        </w:rPr>
        <w:t>华兴天成项目咨询有限公司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铜川市印台区交通运输局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华兴天成项目咨询有限公司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铜川市印台区交通运输局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华兴天成项目咨询有限公司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联系人：陈晨</w:t>
      </w:r>
    </w:p>
    <w:p>
      <w:pPr>
        <w:pStyle w:val="null3"/>
      </w:pPr>
      <w:r>
        <w:rPr>
          <w:rFonts w:ascii="仿宋_GB2312" w:hAnsi="仿宋_GB2312" w:cs="仿宋_GB2312" w:eastAsia="仿宋_GB2312"/>
        </w:rPr>
        <w:t>联系电话：18149038707</w:t>
      </w:r>
    </w:p>
    <w:p>
      <w:pPr>
        <w:pStyle w:val="null3"/>
      </w:pPr>
      <w:r>
        <w:rPr>
          <w:rFonts w:ascii="仿宋_GB2312" w:hAnsi="仿宋_GB2312" w:cs="仿宋_GB2312" w:eastAsia="仿宋_GB2312"/>
        </w:rPr>
        <w:t>地址：陕西省西安市高新区唐延路11号禾盛京广中心B座14层1403室</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路线全长 1.755 公里，按双向两车道二级公路标准建设，路基宽度 10 米，设计速度 40 公里 / 小时，汽车荷载等级公路 - I 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1,050,000.00</w:t>
      </w:r>
    </w:p>
    <w:p>
      <w:pPr>
        <w:pStyle w:val="null3"/>
      </w:pPr>
      <w:r>
        <w:rPr>
          <w:rFonts w:ascii="仿宋_GB2312" w:hAnsi="仿宋_GB2312" w:cs="仿宋_GB2312" w:eastAsia="仿宋_GB2312"/>
        </w:rPr>
        <w:t>采购包最高限价（元）: 1,050,000.00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设计服务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标的名称：设计服务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center"/>
              <w:outlineLvl w:val="1"/>
            </w:pPr>
            <w:r>
              <w:rPr>
                <w:rFonts w:ascii="仿宋_GB2312" w:hAnsi="仿宋_GB2312" w:cs="仿宋_GB2312" w:eastAsia="仿宋_GB2312"/>
                <w:sz w:val="36"/>
                <w:b/>
              </w:rPr>
              <w:t xml:space="preserve"> </w:t>
            </w:r>
          </w:p>
          <w:p>
            <w:pPr>
              <w:pStyle w:val="null3"/>
              <w:ind w:firstLine="422"/>
              <w:jc w:val="both"/>
            </w:pPr>
            <w:r>
              <w:rPr>
                <w:rFonts w:ascii="仿宋_GB2312" w:hAnsi="仿宋_GB2312" w:cs="仿宋_GB2312" w:eastAsia="仿宋_GB2312"/>
                <w:sz w:val="21"/>
                <w:b/>
              </w:rPr>
              <w:t>一、项目概况</w:t>
            </w:r>
          </w:p>
          <w:p>
            <w:pPr>
              <w:pStyle w:val="null3"/>
              <w:ind w:firstLine="422"/>
              <w:jc w:val="both"/>
            </w:pPr>
            <w:r>
              <w:rPr>
                <w:rFonts w:ascii="仿宋_GB2312" w:hAnsi="仿宋_GB2312" w:cs="仿宋_GB2312" w:eastAsia="仿宋_GB2312"/>
                <w:sz w:val="21"/>
                <w:b/>
              </w:rPr>
              <w:t>（一）项目基本信息</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项目名称：铜川市印台区合凤高速雷家沟连接线至印台农业高新技术产业示范区公路工程</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项目地点：陕西省铜川市印台区中部，路线起于合凤高速铜川东收费站南约</w:t>
            </w:r>
            <w:r>
              <w:rPr>
                <w:rFonts w:ascii="仿宋_GB2312" w:hAnsi="仿宋_GB2312" w:cs="仿宋_GB2312" w:eastAsia="仿宋_GB2312"/>
                <w:sz w:val="21"/>
              </w:rPr>
              <w:t xml:space="preserve"> 800 米处，终于涝池接 G342 改线处（K1268+730）。</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建设规模：路线全长</w:t>
            </w:r>
            <w:r>
              <w:rPr>
                <w:rFonts w:ascii="仿宋_GB2312" w:hAnsi="仿宋_GB2312" w:cs="仿宋_GB2312" w:eastAsia="仿宋_GB2312"/>
                <w:sz w:val="21"/>
              </w:rPr>
              <w:t xml:space="preserve"> 1.755 公里，按双向两车道二级公路标准建设，路基宽度 10 米，设计速度 40 公里 / 小时，汽车荷载等级公路 - I 级。</w:t>
            </w:r>
          </w:p>
          <w:p>
            <w:pPr>
              <w:pStyle w:val="null3"/>
              <w:ind w:firstLine="422"/>
              <w:jc w:val="both"/>
            </w:pPr>
            <w:r>
              <w:rPr>
                <w:rFonts w:ascii="仿宋_GB2312" w:hAnsi="仿宋_GB2312" w:cs="仿宋_GB2312" w:eastAsia="仿宋_GB2312"/>
                <w:sz w:val="21"/>
                <w:b/>
              </w:rPr>
              <w:t>（二）项目背景与目标</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背景：项目是印台区</w:t>
            </w:r>
            <w:r>
              <w:rPr>
                <w:rFonts w:ascii="仿宋_GB2312" w:hAnsi="仿宋_GB2312" w:cs="仿宋_GB2312" w:eastAsia="仿宋_GB2312"/>
                <w:sz w:val="21"/>
              </w:rPr>
              <w:t>“十四五” 交通规划重点工程，旨在解决新老 342 国道与合凤高速高差障碍，完善区域路网，服务农业高新技术产业示范区及沿线园区发展，推动城乡融合与乡村振兴。</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目标：构建高效交通通道，提升区域交通效率，促进产业升级，保障交通安全，实现公路建设与生态保护协调发展。</w:t>
            </w:r>
          </w:p>
          <w:p>
            <w:pPr>
              <w:pStyle w:val="null3"/>
              <w:ind w:firstLine="422"/>
              <w:jc w:val="both"/>
            </w:pPr>
            <w:r>
              <w:rPr>
                <w:rFonts w:ascii="仿宋_GB2312" w:hAnsi="仿宋_GB2312" w:cs="仿宋_GB2312" w:eastAsia="仿宋_GB2312"/>
                <w:sz w:val="21"/>
                <w:b/>
              </w:rPr>
              <w:t>二、勘察设计依据</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国家标准与规范</w:t>
            </w:r>
          </w:p>
          <w:p>
            <w:pPr>
              <w:pStyle w:val="null3"/>
              <w:ind w:firstLine="420"/>
              <w:jc w:val="both"/>
            </w:pPr>
            <w:r>
              <w:rPr>
                <w:rFonts w:ascii="仿宋_GB2312" w:hAnsi="仿宋_GB2312" w:cs="仿宋_GB2312" w:eastAsia="仿宋_GB2312"/>
                <w:sz w:val="21"/>
              </w:rPr>
              <w:t>《公路工程技术标准》（</w:t>
            </w:r>
            <w:r>
              <w:rPr>
                <w:rFonts w:ascii="仿宋_GB2312" w:hAnsi="仿宋_GB2312" w:cs="仿宋_GB2312" w:eastAsia="仿宋_GB2312"/>
                <w:sz w:val="21"/>
              </w:rPr>
              <w:t>JTG B01-2014）</w:t>
            </w:r>
          </w:p>
          <w:p>
            <w:pPr>
              <w:pStyle w:val="null3"/>
              <w:ind w:firstLine="420"/>
              <w:jc w:val="both"/>
            </w:pPr>
            <w:r>
              <w:rPr>
                <w:rFonts w:ascii="仿宋_GB2312" w:hAnsi="仿宋_GB2312" w:cs="仿宋_GB2312" w:eastAsia="仿宋_GB2312"/>
                <w:sz w:val="21"/>
              </w:rPr>
              <w:t>《公路路线设计规范》（</w:t>
            </w:r>
            <w:r>
              <w:rPr>
                <w:rFonts w:ascii="仿宋_GB2312" w:hAnsi="仿宋_GB2312" w:cs="仿宋_GB2312" w:eastAsia="仿宋_GB2312"/>
                <w:sz w:val="21"/>
              </w:rPr>
              <w:t>JTG D20-2017）</w:t>
            </w:r>
          </w:p>
          <w:p>
            <w:pPr>
              <w:pStyle w:val="null3"/>
              <w:ind w:firstLine="420"/>
              <w:jc w:val="both"/>
            </w:pPr>
            <w:r>
              <w:rPr>
                <w:rFonts w:ascii="仿宋_GB2312" w:hAnsi="仿宋_GB2312" w:cs="仿宋_GB2312" w:eastAsia="仿宋_GB2312"/>
                <w:sz w:val="21"/>
              </w:rPr>
              <w:t>《公路路基设计规范》（</w:t>
            </w:r>
            <w:r>
              <w:rPr>
                <w:rFonts w:ascii="仿宋_GB2312" w:hAnsi="仿宋_GB2312" w:cs="仿宋_GB2312" w:eastAsia="仿宋_GB2312"/>
                <w:sz w:val="21"/>
              </w:rPr>
              <w:t>JTG D30-2015）</w:t>
            </w:r>
          </w:p>
          <w:p>
            <w:pPr>
              <w:pStyle w:val="null3"/>
              <w:ind w:firstLine="420"/>
              <w:jc w:val="both"/>
            </w:pPr>
            <w:r>
              <w:rPr>
                <w:rFonts w:ascii="仿宋_GB2312" w:hAnsi="仿宋_GB2312" w:cs="仿宋_GB2312" w:eastAsia="仿宋_GB2312"/>
                <w:sz w:val="21"/>
              </w:rPr>
              <w:t>《公路桥涵设计通用规范》（</w:t>
            </w:r>
            <w:r>
              <w:rPr>
                <w:rFonts w:ascii="仿宋_GB2312" w:hAnsi="仿宋_GB2312" w:cs="仿宋_GB2312" w:eastAsia="仿宋_GB2312"/>
                <w:sz w:val="21"/>
              </w:rPr>
              <w:t>JTG D60-2015）</w:t>
            </w:r>
          </w:p>
          <w:p>
            <w:pPr>
              <w:pStyle w:val="null3"/>
              <w:ind w:firstLine="420"/>
              <w:jc w:val="both"/>
            </w:pPr>
            <w:r>
              <w:rPr>
                <w:rFonts w:ascii="仿宋_GB2312" w:hAnsi="仿宋_GB2312" w:cs="仿宋_GB2312" w:eastAsia="仿宋_GB2312"/>
                <w:sz w:val="21"/>
              </w:rPr>
              <w:t>《公路工程地质勘察规范》（</w:t>
            </w:r>
            <w:r>
              <w:rPr>
                <w:rFonts w:ascii="仿宋_GB2312" w:hAnsi="仿宋_GB2312" w:cs="仿宋_GB2312" w:eastAsia="仿宋_GB2312"/>
                <w:sz w:val="21"/>
              </w:rPr>
              <w:t>JTG C20-2011）</w:t>
            </w:r>
          </w:p>
          <w:p>
            <w:pPr>
              <w:pStyle w:val="null3"/>
              <w:ind w:firstLine="420"/>
              <w:jc w:val="both"/>
            </w:pPr>
            <w:r>
              <w:rPr>
                <w:rFonts w:ascii="仿宋_GB2312" w:hAnsi="仿宋_GB2312" w:cs="仿宋_GB2312" w:eastAsia="仿宋_GB2312"/>
                <w:sz w:val="21"/>
              </w:rPr>
              <w:t>《公路项目安全性评价规范》（</w:t>
            </w:r>
            <w:r>
              <w:rPr>
                <w:rFonts w:ascii="仿宋_GB2312" w:hAnsi="仿宋_GB2312" w:cs="仿宋_GB2312" w:eastAsia="仿宋_GB2312"/>
                <w:sz w:val="21"/>
              </w:rPr>
              <w:t>JTG B05-2015）</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地方政策与规划</w:t>
            </w:r>
          </w:p>
          <w:p>
            <w:pPr>
              <w:pStyle w:val="null3"/>
              <w:ind w:firstLine="420"/>
              <w:jc w:val="both"/>
            </w:pPr>
            <w:r>
              <w:rPr>
                <w:rFonts w:ascii="仿宋_GB2312" w:hAnsi="仿宋_GB2312" w:cs="仿宋_GB2312" w:eastAsia="仿宋_GB2312"/>
                <w:sz w:val="21"/>
              </w:rPr>
              <w:t>铜川市及印台区国土空间规划、交通运输发展规划、农业高新技术产业示范区规划。</w:t>
            </w:r>
          </w:p>
          <w:p>
            <w:pPr>
              <w:pStyle w:val="null3"/>
              <w:ind w:firstLine="420"/>
              <w:jc w:val="both"/>
            </w:pPr>
            <w:r>
              <w:rPr>
                <w:rFonts w:ascii="仿宋_GB2312" w:hAnsi="仿宋_GB2312" w:cs="仿宋_GB2312" w:eastAsia="仿宋_GB2312"/>
                <w:sz w:val="21"/>
              </w:rPr>
              <w:t>《关于重新公布印台区征收农用地区片综合地价的通知》（铜印政发〔</w:t>
            </w:r>
            <w:r>
              <w:rPr>
                <w:rFonts w:ascii="仿宋_GB2312" w:hAnsi="仿宋_GB2312" w:cs="仿宋_GB2312" w:eastAsia="仿宋_GB2312"/>
                <w:sz w:val="21"/>
              </w:rPr>
              <w:t>2024〕8 号）。</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项目前期文件</w:t>
            </w:r>
          </w:p>
          <w:p>
            <w:pPr>
              <w:pStyle w:val="null3"/>
              <w:ind w:firstLine="420"/>
              <w:jc w:val="both"/>
            </w:pPr>
            <w:r>
              <w:rPr>
                <w:rFonts w:ascii="仿宋_GB2312" w:hAnsi="仿宋_GB2312" w:cs="仿宋_GB2312" w:eastAsia="仿宋_GB2312"/>
                <w:sz w:val="21"/>
              </w:rPr>
              <w:t>《铜川市印台区合凤高速雷家沟连接线至印台农业高新技术产业示范区公路工程可行性研究报告》及批复文件。</w:t>
            </w:r>
          </w:p>
          <w:p>
            <w:pPr>
              <w:pStyle w:val="null3"/>
              <w:ind w:firstLine="422"/>
              <w:jc w:val="both"/>
            </w:pPr>
            <w:r>
              <w:rPr>
                <w:rFonts w:ascii="仿宋_GB2312" w:hAnsi="仿宋_GB2312" w:cs="仿宋_GB2312" w:eastAsia="仿宋_GB2312"/>
                <w:sz w:val="21"/>
                <w:b/>
              </w:rPr>
              <w:t>三、勘察设计范围与内容</w:t>
            </w:r>
          </w:p>
          <w:p>
            <w:pPr>
              <w:pStyle w:val="null3"/>
              <w:ind w:firstLine="422"/>
              <w:jc w:val="both"/>
            </w:pPr>
            <w:r>
              <w:rPr>
                <w:rFonts w:ascii="仿宋_GB2312" w:hAnsi="仿宋_GB2312" w:cs="仿宋_GB2312" w:eastAsia="仿宋_GB2312"/>
                <w:sz w:val="21"/>
                <w:b/>
              </w:rPr>
              <w:t>（一）勘察范围与内容</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地形地质勘察</w:t>
            </w:r>
          </w:p>
          <w:p>
            <w:pPr>
              <w:pStyle w:val="null3"/>
              <w:ind w:firstLine="420"/>
              <w:jc w:val="both"/>
            </w:pPr>
            <w:r>
              <w:rPr>
                <w:rFonts w:ascii="仿宋_GB2312" w:hAnsi="仿宋_GB2312" w:cs="仿宋_GB2312" w:eastAsia="仿宋_GB2312"/>
                <w:sz w:val="21"/>
              </w:rPr>
              <w:t>查明路线沿线地形地貌、地层结构、岩土性质，重点勘察黄土湿陷性、滑坡、崩塌等不良地质现象，提供路基、桥涵基础设计所需地质参数。</w:t>
            </w:r>
          </w:p>
          <w:p>
            <w:pPr>
              <w:pStyle w:val="null3"/>
              <w:ind w:firstLine="420"/>
              <w:jc w:val="both"/>
            </w:pPr>
            <w:r>
              <w:rPr>
                <w:rFonts w:ascii="仿宋_GB2312" w:hAnsi="仿宋_GB2312" w:cs="仿宋_GB2312" w:eastAsia="仿宋_GB2312"/>
                <w:sz w:val="21"/>
              </w:rPr>
              <w:t>调查沿线地下水分布、水位及水质，评估对路基稳定性的影响。</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水文气象调查</w:t>
            </w:r>
          </w:p>
          <w:p>
            <w:pPr>
              <w:pStyle w:val="null3"/>
              <w:ind w:firstLine="420"/>
              <w:jc w:val="both"/>
            </w:pPr>
            <w:r>
              <w:rPr>
                <w:rFonts w:ascii="仿宋_GB2312" w:hAnsi="仿宋_GB2312" w:cs="仿宋_GB2312" w:eastAsia="仿宋_GB2312"/>
                <w:sz w:val="21"/>
              </w:rPr>
              <w:t>收集区域降水、气温、风速等气象资料，分析暴雨、洪水等灾害对公路的影响，设计排水系统和防洪设施。</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社会环境调查</w:t>
            </w:r>
          </w:p>
          <w:p>
            <w:pPr>
              <w:pStyle w:val="null3"/>
              <w:ind w:firstLine="420"/>
              <w:jc w:val="both"/>
            </w:pPr>
            <w:r>
              <w:rPr>
                <w:rFonts w:ascii="仿宋_GB2312" w:hAnsi="仿宋_GB2312" w:cs="仿宋_GB2312" w:eastAsia="仿宋_GB2312"/>
                <w:sz w:val="21"/>
              </w:rPr>
              <w:t>调查沿线土地利用现状、基本农田分布、拆迁建筑物及电力电讯设施，核实占地范围（新增占地</w:t>
            </w:r>
            <w:r>
              <w:rPr>
                <w:rFonts w:ascii="仿宋_GB2312" w:hAnsi="仿宋_GB2312" w:cs="仿宋_GB2312" w:eastAsia="仿宋_GB2312"/>
                <w:sz w:val="21"/>
              </w:rPr>
              <w:t xml:space="preserve"> 88.134 亩，拆迁建筑物 860 平方米，赔偿树木 6350 棵）。</w:t>
            </w:r>
          </w:p>
          <w:p>
            <w:pPr>
              <w:pStyle w:val="null3"/>
              <w:ind w:firstLine="422"/>
              <w:jc w:val="both"/>
            </w:pPr>
            <w:r>
              <w:rPr>
                <w:rFonts w:ascii="仿宋_GB2312" w:hAnsi="仿宋_GB2312" w:cs="仿宋_GB2312" w:eastAsia="仿宋_GB2312"/>
                <w:sz w:val="21"/>
                <w:b/>
              </w:rPr>
              <w:t>（二）设计范围与内容</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路线设计</w:t>
            </w:r>
          </w:p>
          <w:p>
            <w:pPr>
              <w:pStyle w:val="null3"/>
              <w:ind w:firstLine="420"/>
              <w:jc w:val="both"/>
            </w:pPr>
            <w:r>
              <w:rPr>
                <w:rFonts w:ascii="仿宋_GB2312" w:hAnsi="仿宋_GB2312" w:cs="仿宋_GB2312" w:eastAsia="仿宋_GB2312"/>
                <w:sz w:val="21"/>
              </w:rPr>
              <w:t>结合地形、地质条件，优化路线平纵线形，控制最大纵坡</w:t>
            </w:r>
            <w:r>
              <w:rPr>
                <w:rFonts w:ascii="仿宋_GB2312" w:hAnsi="仿宋_GB2312" w:cs="仿宋_GB2312" w:eastAsia="仿宋_GB2312"/>
                <w:sz w:val="21"/>
              </w:rPr>
              <w:t xml:space="preserve"> 7%，最小平曲线半径 60 米（回头曲线 40 米），确保线形均衡性和行车安全性。</w:t>
            </w:r>
          </w:p>
          <w:p>
            <w:pPr>
              <w:pStyle w:val="null3"/>
              <w:ind w:firstLine="420"/>
              <w:jc w:val="both"/>
            </w:pPr>
            <w:r>
              <w:rPr>
                <w:rFonts w:ascii="仿宋_GB2312" w:hAnsi="仿宋_GB2312" w:cs="仿宋_GB2312" w:eastAsia="仿宋_GB2312"/>
                <w:sz w:val="21"/>
              </w:rPr>
              <w:t>与合凤高速连接线、</w:t>
            </w:r>
            <w:r>
              <w:rPr>
                <w:rFonts w:ascii="仿宋_GB2312" w:hAnsi="仿宋_GB2312" w:cs="仿宋_GB2312" w:eastAsia="仿宋_GB2312"/>
                <w:sz w:val="21"/>
              </w:rPr>
              <w:t>342 国道及沿线乡村道路合理衔接，设置 4 处平面交叉（含 2 处等级公路交叉）。</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路基路面设计</w:t>
            </w:r>
          </w:p>
          <w:p>
            <w:pPr>
              <w:pStyle w:val="null3"/>
              <w:ind w:firstLine="420"/>
              <w:jc w:val="both"/>
            </w:pPr>
            <w:r>
              <w:rPr>
                <w:rFonts w:ascii="仿宋_GB2312" w:hAnsi="仿宋_GB2312" w:cs="仿宋_GB2312" w:eastAsia="仿宋_GB2312"/>
                <w:sz w:val="21"/>
              </w:rPr>
              <w:t>路基工程：设计路基横断面为</w:t>
            </w:r>
            <w:r>
              <w:rPr>
                <w:rFonts w:ascii="仿宋_GB2312" w:hAnsi="仿宋_GB2312" w:cs="仿宋_GB2312" w:eastAsia="仿宋_GB2312"/>
                <w:sz w:val="21"/>
              </w:rPr>
              <w:t xml:space="preserve"> 2×3.5 米行车道 + 2×1.5 米路肩，采用 C20 片石混凝土防护工程（6.385 千立方米）和 C20 混凝土排水工程（2.601 千立方米），处理高填深挖路基（最大挖深 55.26 米，最大填高 25.97 米）。</w:t>
            </w:r>
          </w:p>
          <w:p>
            <w:pPr>
              <w:pStyle w:val="null3"/>
              <w:ind w:firstLine="420"/>
              <w:jc w:val="both"/>
            </w:pPr>
            <w:r>
              <w:rPr>
                <w:rFonts w:ascii="仿宋_GB2312" w:hAnsi="仿宋_GB2312" w:cs="仿宋_GB2312" w:eastAsia="仿宋_GB2312"/>
                <w:sz w:val="21"/>
              </w:rPr>
              <w:t>路面工程：采用</w:t>
            </w:r>
            <w:r>
              <w:rPr>
                <w:rFonts w:ascii="仿宋_GB2312" w:hAnsi="仿宋_GB2312" w:cs="仿宋_GB2312" w:eastAsia="仿宋_GB2312"/>
                <w:sz w:val="21"/>
              </w:rPr>
              <w:t xml:space="preserve"> 50 厘米厚沥青混凝土路面结构（4cm 细粒式改性沥青混凝土上面层 + 6cm 中粒式沥青混凝土下面层 + 20cm 水泥稳定碎石基层 + 20cm 水泥稳定碎石底基层），设计年限 12 年。</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桥涵工程设计</w:t>
            </w:r>
          </w:p>
          <w:p>
            <w:pPr>
              <w:pStyle w:val="null3"/>
              <w:ind w:firstLine="420"/>
              <w:jc w:val="both"/>
            </w:pPr>
            <w:r>
              <w:rPr>
                <w:rFonts w:ascii="仿宋_GB2312" w:hAnsi="仿宋_GB2312" w:cs="仿宋_GB2312" w:eastAsia="仿宋_GB2312"/>
                <w:sz w:val="21"/>
              </w:rPr>
              <w:t>设置</w:t>
            </w:r>
            <w:r>
              <w:rPr>
                <w:rFonts w:ascii="仿宋_GB2312" w:hAnsi="仿宋_GB2312" w:cs="仿宋_GB2312" w:eastAsia="仿宋_GB2312"/>
                <w:sz w:val="21"/>
              </w:rPr>
              <w:t xml:space="preserve"> 7 道涵洞（5 道钢筋混凝土盖板涵、2 道钢筋混凝土圆管涵）和 1 道钢筋混凝土箱涵通道，满足排水及农业生产通行需求。</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交通工程及沿线设施</w:t>
            </w:r>
          </w:p>
          <w:p>
            <w:pPr>
              <w:pStyle w:val="null3"/>
              <w:ind w:firstLine="420"/>
              <w:jc w:val="both"/>
            </w:pPr>
            <w:r>
              <w:rPr>
                <w:rFonts w:ascii="仿宋_GB2312" w:hAnsi="仿宋_GB2312" w:cs="仿宋_GB2312" w:eastAsia="仿宋_GB2312"/>
                <w:sz w:val="21"/>
              </w:rPr>
              <w:t>设计交通安全设施（护栏、标志、标线、视线诱导设施等），全线设置</w:t>
            </w:r>
            <w:r>
              <w:rPr>
                <w:rFonts w:ascii="仿宋_GB2312" w:hAnsi="仿宋_GB2312" w:cs="仿宋_GB2312" w:eastAsia="仿宋_GB2312"/>
                <w:sz w:val="21"/>
              </w:rPr>
              <w:t xml:space="preserve"> 1.755 公里安全设施及绿化工程，提升行车安全与路域景观。</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环保与节能设计</w:t>
            </w:r>
          </w:p>
          <w:p>
            <w:pPr>
              <w:pStyle w:val="null3"/>
              <w:ind w:firstLine="420"/>
              <w:jc w:val="both"/>
            </w:pPr>
            <w:r>
              <w:rPr>
                <w:rFonts w:ascii="仿宋_GB2312" w:hAnsi="仿宋_GB2312" w:cs="仿宋_GB2312" w:eastAsia="仿宋_GB2312"/>
                <w:sz w:val="21"/>
              </w:rPr>
              <w:t>贯彻绿色公路理念，采用生态护坡、植物防护（穴播植草、拱形骨架护坡），减少对沿线林地、耕地的破坏。</w:t>
            </w:r>
          </w:p>
          <w:p>
            <w:pPr>
              <w:pStyle w:val="null3"/>
              <w:ind w:firstLine="420"/>
              <w:jc w:val="both"/>
            </w:pPr>
            <w:r>
              <w:rPr>
                <w:rFonts w:ascii="仿宋_GB2312" w:hAnsi="仿宋_GB2312" w:cs="仿宋_GB2312" w:eastAsia="仿宋_GB2312"/>
                <w:sz w:val="21"/>
              </w:rPr>
              <w:t>优化路线方案，降低土石方工程量（挖方</w:t>
            </w:r>
            <w:r>
              <w:rPr>
                <w:rFonts w:ascii="仿宋_GB2312" w:hAnsi="仿宋_GB2312" w:cs="仿宋_GB2312" w:eastAsia="仿宋_GB2312"/>
                <w:sz w:val="21"/>
              </w:rPr>
              <w:t xml:space="preserve"> 452.229 千立方米，填方 67.617 千立方米），优先利用旧路材料，减少能源消耗。</w:t>
            </w:r>
          </w:p>
          <w:p>
            <w:pPr>
              <w:pStyle w:val="null3"/>
              <w:ind w:firstLine="422"/>
              <w:jc w:val="both"/>
            </w:pPr>
            <w:r>
              <w:rPr>
                <w:rFonts w:ascii="仿宋_GB2312" w:hAnsi="仿宋_GB2312" w:cs="仿宋_GB2312" w:eastAsia="仿宋_GB2312"/>
                <w:sz w:val="21"/>
                <w:b/>
              </w:rPr>
              <w:t>四、技术标准与关键指标</w:t>
            </w:r>
          </w:p>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45"/>
                    <w:jc w:val="center"/>
                  </w:pPr>
                  <w:r>
                    <w:rPr>
                      <w:rFonts w:ascii="仿宋_GB2312" w:hAnsi="仿宋_GB2312" w:cs="仿宋_GB2312" w:eastAsia="仿宋_GB2312"/>
                      <w:sz w:val="21"/>
                    </w:rPr>
                    <w:t>技术指标</w:t>
                  </w:r>
                </w:p>
              </w:tc>
              <w:tc>
                <w:tcPr>
                  <w:tcW w:type="dxa" w:w="638"/>
                  <w:tcBorders>
                    <w:top w:val="single" w:color="000000" w:sz="4"/>
                    <w:left w:val="none" w:color="000000" w:sz="4"/>
                    <w:bottom w:val="single" w:color="000000" w:sz="4"/>
                    <w:right w:val="single" w:color="000000" w:sz="4"/>
                  </w:tcBorders>
                  <w:tcMar>
                    <w:top w:type="dxa" w:w="180"/>
                    <w:left w:type="dxa" w:w="270"/>
                    <w:bottom w:type="dxa" w:w="180"/>
                    <w:right w:type="dxa" w:w="270"/>
                  </w:tcMar>
                  <w:vAlign w:val="top"/>
                </w:tcPr>
                <w:p>
                  <w:pPr>
                    <w:pStyle w:val="null3"/>
                    <w:ind w:left="45"/>
                    <w:jc w:val="center"/>
                  </w:pPr>
                  <w:r>
                    <w:rPr>
                      <w:rFonts w:ascii="仿宋_GB2312" w:hAnsi="仿宋_GB2312" w:cs="仿宋_GB2312" w:eastAsia="仿宋_GB2312"/>
                      <w:sz w:val="21"/>
                    </w:rPr>
                    <w:t>单位</w:t>
                  </w:r>
                </w:p>
              </w:tc>
              <w:tc>
                <w:tcPr>
                  <w:tcW w:type="dxa" w:w="638"/>
                  <w:tcBorders>
                    <w:top w:val="single" w:color="000000" w:sz="4"/>
                    <w:left w:val="none" w:color="000000" w:sz="4"/>
                    <w:bottom w:val="single" w:color="000000" w:sz="4"/>
                    <w:right w:val="single" w:color="000000" w:sz="4"/>
                  </w:tcBorders>
                  <w:tcMar>
                    <w:top w:type="dxa" w:w="180"/>
                    <w:left w:type="dxa" w:w="270"/>
                    <w:bottom w:type="dxa" w:w="180"/>
                    <w:right w:type="dxa" w:w="270"/>
                  </w:tcMar>
                  <w:vAlign w:val="top"/>
                </w:tcPr>
                <w:p>
                  <w:pPr>
                    <w:pStyle w:val="null3"/>
                    <w:ind w:left="45"/>
                    <w:jc w:val="center"/>
                  </w:pPr>
                  <w:r>
                    <w:rPr>
                      <w:rFonts w:ascii="仿宋_GB2312" w:hAnsi="仿宋_GB2312" w:cs="仿宋_GB2312" w:eastAsia="仿宋_GB2312"/>
                      <w:sz w:val="21"/>
                    </w:rPr>
                    <w:t>标准值</w:t>
                  </w:r>
                </w:p>
              </w:tc>
              <w:tc>
                <w:tcPr>
                  <w:tcW w:type="dxa" w:w="638"/>
                  <w:tcBorders>
                    <w:top w:val="single" w:color="000000" w:sz="4"/>
                    <w:left w:val="none" w:color="000000" w:sz="4"/>
                    <w:bottom w:val="single" w:color="000000" w:sz="4"/>
                    <w:right w:val="single" w:color="000000" w:sz="4"/>
                  </w:tcBorders>
                  <w:tcMar>
                    <w:top w:type="dxa" w:w="180"/>
                    <w:left w:type="dxa" w:w="270"/>
                    <w:bottom w:type="dxa" w:w="180"/>
                    <w:right w:type="dxa" w:w="270"/>
                  </w:tcMar>
                  <w:vAlign w:val="top"/>
                </w:tcPr>
                <w:p>
                  <w:pPr>
                    <w:pStyle w:val="null3"/>
                    <w:ind w:left="45"/>
                    <w:jc w:val="center"/>
                  </w:pPr>
                  <w:r>
                    <w:rPr>
                      <w:rFonts w:ascii="仿宋_GB2312" w:hAnsi="仿宋_GB2312" w:cs="仿宋_GB2312" w:eastAsia="仿宋_GB2312"/>
                      <w:sz w:val="21"/>
                    </w:rPr>
                    <w:t>依据</w:t>
                  </w:r>
                  <w:r>
                    <w:rPr>
                      <w:rFonts w:ascii="仿宋_GB2312" w:hAnsi="仿宋_GB2312" w:cs="仿宋_GB2312" w:eastAsia="仿宋_GB2312"/>
                      <w:sz w:val="21"/>
                    </w:rPr>
                    <w:t>/ 说明</w:t>
                  </w:r>
                </w:p>
              </w:tc>
            </w:tr>
            <w:tr>
              <w:tc>
                <w:tcPr>
                  <w:tcW w:type="dxa" w:w="638"/>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45"/>
                    <w:jc w:val="center"/>
                  </w:pPr>
                  <w:r>
                    <w:rPr>
                      <w:rFonts w:ascii="仿宋_GB2312" w:hAnsi="仿宋_GB2312" w:cs="仿宋_GB2312" w:eastAsia="仿宋_GB2312"/>
                      <w:sz w:val="21"/>
                    </w:rPr>
                    <w:t>公路等级</w:t>
                  </w:r>
                </w:p>
              </w:tc>
              <w:tc>
                <w:tcPr>
                  <w:tcW w:type="dxa" w:w="638"/>
                  <w:tcBorders>
                    <w:top w:val="none" w:color="000000" w:sz="4"/>
                    <w:left w:val="none" w:color="000000" w:sz="4"/>
                    <w:bottom w:val="single" w:color="000000" w:sz="4"/>
                    <w:right w:val="single" w:color="000000" w:sz="4"/>
                  </w:tcBorders>
                  <w:tcMar>
                    <w:top w:type="dxa" w:w="180"/>
                    <w:left w:type="dxa" w:w="270"/>
                    <w:bottom w:type="dxa" w:w="180"/>
                    <w:right w:type="dxa" w:w="270"/>
                  </w:tcMar>
                  <w:vAlign w:val="top"/>
                </w:tcPr>
                <w:p>
                  <w:pPr>
                    <w:pStyle w:val="null3"/>
                    <w:ind w:left="45"/>
                    <w:jc w:val="center"/>
                  </w:pPr>
                  <w:r>
                    <w:rPr>
                      <w:rFonts w:ascii="仿宋_GB2312" w:hAnsi="仿宋_GB2312" w:cs="仿宋_GB2312" w:eastAsia="仿宋_GB2312"/>
                      <w:sz w:val="21"/>
                    </w:rPr>
                    <w:t>级</w:t>
                  </w:r>
                </w:p>
              </w:tc>
              <w:tc>
                <w:tcPr>
                  <w:tcW w:type="dxa" w:w="638"/>
                  <w:tcBorders>
                    <w:top w:val="none" w:color="000000" w:sz="4"/>
                    <w:left w:val="none" w:color="000000" w:sz="4"/>
                    <w:bottom w:val="single" w:color="000000" w:sz="4"/>
                    <w:right w:val="single" w:color="000000" w:sz="4"/>
                  </w:tcBorders>
                  <w:tcMar>
                    <w:top w:type="dxa" w:w="180"/>
                    <w:left w:type="dxa" w:w="270"/>
                    <w:bottom w:type="dxa" w:w="180"/>
                    <w:right w:type="dxa" w:w="270"/>
                  </w:tcMar>
                  <w:vAlign w:val="top"/>
                </w:tcPr>
                <w:p>
                  <w:pPr>
                    <w:pStyle w:val="null3"/>
                    <w:ind w:left="45"/>
                    <w:jc w:val="center"/>
                  </w:pPr>
                  <w:r>
                    <w:rPr>
                      <w:rFonts w:ascii="仿宋_GB2312" w:hAnsi="仿宋_GB2312" w:cs="仿宋_GB2312" w:eastAsia="仿宋_GB2312"/>
                      <w:sz w:val="21"/>
                    </w:rPr>
                    <w:t>二级</w:t>
                  </w:r>
                </w:p>
              </w:tc>
              <w:tc>
                <w:tcPr>
                  <w:tcW w:type="dxa" w:w="638"/>
                  <w:tcBorders>
                    <w:top w:val="none" w:color="000000" w:sz="4"/>
                    <w:left w:val="none" w:color="000000" w:sz="4"/>
                    <w:bottom w:val="single" w:color="000000" w:sz="4"/>
                    <w:right w:val="single" w:color="000000" w:sz="4"/>
                  </w:tcBorders>
                  <w:tcMar>
                    <w:top w:type="dxa" w:w="180"/>
                    <w:left w:type="dxa" w:w="270"/>
                    <w:bottom w:type="dxa" w:w="180"/>
                    <w:right w:type="dxa" w:w="270"/>
                  </w:tcMar>
                  <w:vAlign w:val="top"/>
                </w:tcPr>
                <w:p>
                  <w:pPr>
                    <w:pStyle w:val="null3"/>
                    <w:ind w:left="45"/>
                    <w:jc w:val="center"/>
                  </w:pPr>
                  <w:r>
                    <w:rPr>
                      <w:rFonts w:ascii="仿宋_GB2312" w:hAnsi="仿宋_GB2312" w:cs="仿宋_GB2312" w:eastAsia="仿宋_GB2312"/>
                      <w:sz w:val="21"/>
                    </w:rPr>
                    <w:t>JTG B01-2014</w:t>
                  </w:r>
                </w:p>
              </w:tc>
            </w:tr>
            <w:tr>
              <w:tc>
                <w:tcPr>
                  <w:tcW w:type="dxa" w:w="638"/>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45"/>
                    <w:jc w:val="center"/>
                  </w:pPr>
                  <w:r>
                    <w:rPr>
                      <w:rFonts w:ascii="仿宋_GB2312" w:hAnsi="仿宋_GB2312" w:cs="仿宋_GB2312" w:eastAsia="仿宋_GB2312"/>
                      <w:sz w:val="21"/>
                    </w:rPr>
                    <w:t>设计速度</w:t>
                  </w:r>
                </w:p>
              </w:tc>
              <w:tc>
                <w:tcPr>
                  <w:tcW w:type="dxa" w:w="638"/>
                  <w:tcBorders>
                    <w:top w:val="none" w:color="000000" w:sz="4"/>
                    <w:left w:val="none" w:color="000000" w:sz="4"/>
                    <w:bottom w:val="single" w:color="000000" w:sz="4"/>
                    <w:right w:val="single" w:color="000000" w:sz="4"/>
                  </w:tcBorders>
                  <w:tcMar>
                    <w:top w:type="dxa" w:w="180"/>
                    <w:left w:type="dxa" w:w="270"/>
                    <w:bottom w:type="dxa" w:w="180"/>
                    <w:right w:type="dxa" w:w="270"/>
                  </w:tcMar>
                  <w:vAlign w:val="top"/>
                </w:tcPr>
                <w:p>
                  <w:pPr>
                    <w:pStyle w:val="null3"/>
                    <w:ind w:left="45"/>
                    <w:jc w:val="center"/>
                  </w:pPr>
                  <w:r>
                    <w:rPr>
                      <w:rFonts w:ascii="仿宋_GB2312" w:hAnsi="仿宋_GB2312" w:cs="仿宋_GB2312" w:eastAsia="仿宋_GB2312"/>
                      <w:sz w:val="21"/>
                    </w:rPr>
                    <w:t>km/h</w:t>
                  </w:r>
                </w:p>
              </w:tc>
              <w:tc>
                <w:tcPr>
                  <w:tcW w:type="dxa" w:w="638"/>
                  <w:tcBorders>
                    <w:top w:val="none" w:color="000000" w:sz="4"/>
                    <w:left w:val="none" w:color="000000" w:sz="4"/>
                    <w:bottom w:val="single" w:color="000000" w:sz="4"/>
                    <w:right w:val="single" w:color="000000" w:sz="4"/>
                  </w:tcBorders>
                  <w:tcMar>
                    <w:top w:type="dxa" w:w="180"/>
                    <w:left w:type="dxa" w:w="270"/>
                    <w:bottom w:type="dxa" w:w="180"/>
                    <w:right w:type="dxa" w:w="270"/>
                  </w:tcMar>
                  <w:vAlign w:val="top"/>
                </w:tcPr>
                <w:p>
                  <w:pPr>
                    <w:pStyle w:val="null3"/>
                    <w:ind w:left="45"/>
                    <w:jc w:val="center"/>
                  </w:pPr>
                  <w:r>
                    <w:rPr>
                      <w:rFonts w:ascii="仿宋_GB2312" w:hAnsi="仿宋_GB2312" w:cs="仿宋_GB2312" w:eastAsia="仿宋_GB2312"/>
                      <w:sz w:val="21"/>
                    </w:rPr>
                    <w:t>40</w:t>
                  </w:r>
                </w:p>
              </w:tc>
              <w:tc>
                <w:tcPr>
                  <w:tcW w:type="dxa" w:w="638"/>
                  <w:tcBorders>
                    <w:top w:val="none" w:color="000000" w:sz="4"/>
                    <w:left w:val="none" w:color="000000" w:sz="4"/>
                    <w:bottom w:val="single" w:color="000000" w:sz="4"/>
                    <w:right w:val="single" w:color="000000" w:sz="4"/>
                  </w:tcBorders>
                  <w:tcMar>
                    <w:top w:type="dxa" w:w="180"/>
                    <w:left w:type="dxa" w:w="270"/>
                    <w:bottom w:type="dxa" w:w="180"/>
                    <w:right w:type="dxa" w:w="270"/>
                  </w:tcMar>
                  <w:vAlign w:val="top"/>
                </w:tcPr>
                <w:p>
                  <w:pPr>
                    <w:pStyle w:val="null3"/>
                    <w:ind w:left="45"/>
                    <w:jc w:val="center"/>
                  </w:pPr>
                  <w:r>
                    <w:rPr>
                      <w:rFonts w:ascii="仿宋_GB2312" w:hAnsi="仿宋_GB2312" w:cs="仿宋_GB2312" w:eastAsia="仿宋_GB2312"/>
                      <w:sz w:val="21"/>
                    </w:rPr>
                    <w:t>地形及交通需求</w:t>
                  </w:r>
                </w:p>
              </w:tc>
            </w:tr>
            <w:tr>
              <w:tc>
                <w:tcPr>
                  <w:tcW w:type="dxa" w:w="638"/>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45"/>
                    <w:jc w:val="center"/>
                  </w:pPr>
                  <w:r>
                    <w:rPr>
                      <w:rFonts w:ascii="仿宋_GB2312" w:hAnsi="仿宋_GB2312" w:cs="仿宋_GB2312" w:eastAsia="仿宋_GB2312"/>
                      <w:sz w:val="21"/>
                    </w:rPr>
                    <w:t>路基宽度</w:t>
                  </w:r>
                </w:p>
              </w:tc>
              <w:tc>
                <w:tcPr>
                  <w:tcW w:type="dxa" w:w="638"/>
                  <w:tcBorders>
                    <w:top w:val="none" w:color="000000" w:sz="4"/>
                    <w:left w:val="none" w:color="000000" w:sz="4"/>
                    <w:bottom w:val="single" w:color="000000" w:sz="4"/>
                    <w:right w:val="single" w:color="000000" w:sz="4"/>
                  </w:tcBorders>
                  <w:tcMar>
                    <w:top w:type="dxa" w:w="180"/>
                    <w:left w:type="dxa" w:w="270"/>
                    <w:bottom w:type="dxa" w:w="180"/>
                    <w:right w:type="dxa" w:w="270"/>
                  </w:tcMar>
                  <w:vAlign w:val="top"/>
                </w:tcPr>
                <w:p>
                  <w:pPr>
                    <w:pStyle w:val="null3"/>
                    <w:ind w:left="45"/>
                    <w:jc w:val="center"/>
                  </w:pPr>
                  <w:r>
                    <w:rPr>
                      <w:rFonts w:ascii="仿宋_GB2312" w:hAnsi="仿宋_GB2312" w:cs="仿宋_GB2312" w:eastAsia="仿宋_GB2312"/>
                      <w:sz w:val="21"/>
                    </w:rPr>
                    <w:t>m</w:t>
                  </w:r>
                </w:p>
              </w:tc>
              <w:tc>
                <w:tcPr>
                  <w:tcW w:type="dxa" w:w="638"/>
                  <w:tcBorders>
                    <w:top w:val="none" w:color="000000" w:sz="4"/>
                    <w:left w:val="none" w:color="000000" w:sz="4"/>
                    <w:bottom w:val="single" w:color="000000" w:sz="4"/>
                    <w:right w:val="single" w:color="000000" w:sz="4"/>
                  </w:tcBorders>
                  <w:tcMar>
                    <w:top w:type="dxa" w:w="180"/>
                    <w:left w:type="dxa" w:w="270"/>
                    <w:bottom w:type="dxa" w:w="180"/>
                    <w:right w:type="dxa" w:w="270"/>
                  </w:tcMar>
                  <w:vAlign w:val="top"/>
                </w:tcPr>
                <w:p>
                  <w:pPr>
                    <w:pStyle w:val="null3"/>
                    <w:ind w:left="45"/>
                    <w:jc w:val="center"/>
                  </w:pPr>
                  <w:r>
                    <w:rPr>
                      <w:rFonts w:ascii="仿宋_GB2312" w:hAnsi="仿宋_GB2312" w:cs="仿宋_GB2312" w:eastAsia="仿宋_GB2312"/>
                      <w:sz w:val="21"/>
                    </w:rPr>
                    <w:t>10</w:t>
                  </w:r>
                </w:p>
              </w:tc>
              <w:tc>
                <w:tcPr>
                  <w:tcW w:type="dxa" w:w="638"/>
                  <w:tcBorders>
                    <w:top w:val="none" w:color="000000" w:sz="4"/>
                    <w:left w:val="none" w:color="000000" w:sz="4"/>
                    <w:bottom w:val="single" w:color="000000" w:sz="4"/>
                    <w:right w:val="single" w:color="000000" w:sz="4"/>
                  </w:tcBorders>
                  <w:tcMar>
                    <w:top w:type="dxa" w:w="180"/>
                    <w:left w:type="dxa" w:w="270"/>
                    <w:bottom w:type="dxa" w:w="180"/>
                    <w:right w:type="dxa" w:w="270"/>
                  </w:tcMar>
                  <w:vAlign w:val="top"/>
                </w:tcPr>
                <w:p>
                  <w:pPr>
                    <w:pStyle w:val="null3"/>
                    <w:ind w:left="45"/>
                    <w:jc w:val="center"/>
                  </w:pPr>
                  <w:r>
                    <w:rPr>
                      <w:rFonts w:ascii="仿宋_GB2312" w:hAnsi="仿宋_GB2312" w:cs="仿宋_GB2312" w:eastAsia="仿宋_GB2312"/>
                      <w:sz w:val="21"/>
                    </w:rPr>
                    <w:t>双向两车道</w:t>
                  </w:r>
                </w:p>
              </w:tc>
            </w:tr>
            <w:tr>
              <w:tc>
                <w:tcPr>
                  <w:tcW w:type="dxa" w:w="638"/>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45"/>
                    <w:jc w:val="center"/>
                  </w:pPr>
                  <w:r>
                    <w:rPr>
                      <w:rFonts w:ascii="仿宋_GB2312" w:hAnsi="仿宋_GB2312" w:cs="仿宋_GB2312" w:eastAsia="仿宋_GB2312"/>
                      <w:sz w:val="21"/>
                    </w:rPr>
                    <w:t>路面宽度</w:t>
                  </w:r>
                </w:p>
              </w:tc>
              <w:tc>
                <w:tcPr>
                  <w:tcW w:type="dxa" w:w="638"/>
                  <w:tcBorders>
                    <w:top w:val="none" w:color="000000" w:sz="4"/>
                    <w:left w:val="none" w:color="000000" w:sz="4"/>
                    <w:bottom w:val="single" w:color="000000" w:sz="4"/>
                    <w:right w:val="single" w:color="000000" w:sz="4"/>
                  </w:tcBorders>
                  <w:tcMar>
                    <w:top w:type="dxa" w:w="180"/>
                    <w:left w:type="dxa" w:w="270"/>
                    <w:bottom w:type="dxa" w:w="180"/>
                    <w:right w:type="dxa" w:w="270"/>
                  </w:tcMar>
                  <w:vAlign w:val="top"/>
                </w:tcPr>
                <w:p>
                  <w:pPr>
                    <w:pStyle w:val="null3"/>
                    <w:ind w:left="45"/>
                    <w:jc w:val="center"/>
                  </w:pPr>
                  <w:r>
                    <w:rPr>
                      <w:rFonts w:ascii="仿宋_GB2312" w:hAnsi="仿宋_GB2312" w:cs="仿宋_GB2312" w:eastAsia="仿宋_GB2312"/>
                      <w:sz w:val="21"/>
                    </w:rPr>
                    <w:t>m</w:t>
                  </w:r>
                </w:p>
              </w:tc>
              <w:tc>
                <w:tcPr>
                  <w:tcW w:type="dxa" w:w="638"/>
                  <w:tcBorders>
                    <w:top w:val="none" w:color="000000" w:sz="4"/>
                    <w:left w:val="none" w:color="000000" w:sz="4"/>
                    <w:bottom w:val="single" w:color="000000" w:sz="4"/>
                    <w:right w:val="single" w:color="000000" w:sz="4"/>
                  </w:tcBorders>
                  <w:tcMar>
                    <w:top w:type="dxa" w:w="180"/>
                    <w:left w:type="dxa" w:w="270"/>
                    <w:bottom w:type="dxa" w:w="180"/>
                    <w:right w:type="dxa" w:w="270"/>
                  </w:tcMar>
                  <w:vAlign w:val="top"/>
                </w:tcPr>
                <w:p>
                  <w:pPr>
                    <w:pStyle w:val="null3"/>
                    <w:ind w:left="45"/>
                    <w:jc w:val="center"/>
                  </w:pPr>
                  <w:r>
                    <w:rPr>
                      <w:rFonts w:ascii="仿宋_GB2312" w:hAnsi="仿宋_GB2312" w:cs="仿宋_GB2312" w:eastAsia="仿宋_GB2312"/>
                      <w:sz w:val="21"/>
                    </w:rPr>
                    <w:t>9.5</w:t>
                  </w:r>
                </w:p>
              </w:tc>
              <w:tc>
                <w:tcPr>
                  <w:tcW w:type="dxa" w:w="638"/>
                  <w:tcBorders>
                    <w:top w:val="none" w:color="000000" w:sz="4"/>
                    <w:left w:val="none" w:color="000000" w:sz="4"/>
                    <w:bottom w:val="single" w:color="000000" w:sz="4"/>
                    <w:right w:val="single" w:color="000000" w:sz="4"/>
                  </w:tcBorders>
                  <w:tcMar>
                    <w:top w:type="dxa" w:w="180"/>
                    <w:left w:type="dxa" w:w="270"/>
                    <w:bottom w:type="dxa" w:w="180"/>
                    <w:right w:type="dxa" w:w="270"/>
                  </w:tcMar>
                  <w:vAlign w:val="top"/>
                </w:tcPr>
                <w:p>
                  <w:pPr>
                    <w:pStyle w:val="null3"/>
                    <w:ind w:left="45"/>
                    <w:jc w:val="center"/>
                  </w:pPr>
                  <w:r>
                    <w:rPr>
                      <w:rFonts w:ascii="仿宋_GB2312" w:hAnsi="仿宋_GB2312" w:cs="仿宋_GB2312" w:eastAsia="仿宋_GB2312"/>
                      <w:sz w:val="21"/>
                    </w:rPr>
                    <w:t>行车道满铺</w:t>
                  </w:r>
                </w:p>
              </w:tc>
            </w:tr>
            <w:tr>
              <w:tc>
                <w:tcPr>
                  <w:tcW w:type="dxa" w:w="638"/>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45"/>
                    <w:jc w:val="center"/>
                  </w:pPr>
                  <w:r>
                    <w:rPr>
                      <w:rFonts w:ascii="仿宋_GB2312" w:hAnsi="仿宋_GB2312" w:cs="仿宋_GB2312" w:eastAsia="仿宋_GB2312"/>
                      <w:sz w:val="21"/>
                    </w:rPr>
                    <w:t>地震动峰值加速度</w:t>
                  </w:r>
                </w:p>
              </w:tc>
              <w:tc>
                <w:tcPr>
                  <w:tcW w:type="dxa" w:w="638"/>
                  <w:tcBorders>
                    <w:top w:val="none" w:color="000000" w:sz="4"/>
                    <w:left w:val="none" w:color="000000" w:sz="4"/>
                    <w:bottom w:val="single" w:color="000000" w:sz="4"/>
                    <w:right w:val="single" w:color="000000" w:sz="4"/>
                  </w:tcBorders>
                  <w:tcMar>
                    <w:top w:type="dxa" w:w="180"/>
                    <w:left w:type="dxa" w:w="270"/>
                    <w:bottom w:type="dxa" w:w="180"/>
                    <w:right w:type="dxa" w:w="270"/>
                  </w:tcMar>
                  <w:vAlign w:val="top"/>
                </w:tcPr>
                <w:p>
                  <w:pPr>
                    <w:pStyle w:val="null3"/>
                    <w:ind w:left="45"/>
                    <w:jc w:val="center"/>
                  </w:pPr>
                  <w:r>
                    <w:rPr>
                      <w:rFonts w:ascii="仿宋_GB2312" w:hAnsi="仿宋_GB2312" w:cs="仿宋_GB2312" w:eastAsia="仿宋_GB2312"/>
                      <w:sz w:val="21"/>
                    </w:rPr>
                    <w:t>g</w:t>
                  </w:r>
                </w:p>
              </w:tc>
              <w:tc>
                <w:tcPr>
                  <w:tcW w:type="dxa" w:w="638"/>
                  <w:tcBorders>
                    <w:top w:val="none" w:color="000000" w:sz="4"/>
                    <w:left w:val="none" w:color="000000" w:sz="4"/>
                    <w:bottom w:val="single" w:color="000000" w:sz="4"/>
                    <w:right w:val="single" w:color="000000" w:sz="4"/>
                  </w:tcBorders>
                  <w:tcMar>
                    <w:top w:type="dxa" w:w="180"/>
                    <w:left w:type="dxa" w:w="270"/>
                    <w:bottom w:type="dxa" w:w="180"/>
                    <w:right w:type="dxa" w:w="270"/>
                  </w:tcMar>
                  <w:vAlign w:val="top"/>
                </w:tcPr>
                <w:p>
                  <w:pPr>
                    <w:pStyle w:val="null3"/>
                    <w:ind w:left="45"/>
                    <w:jc w:val="center"/>
                  </w:pPr>
                  <w:r>
                    <w:rPr>
                      <w:rFonts w:ascii="仿宋_GB2312" w:hAnsi="仿宋_GB2312" w:cs="仿宋_GB2312" w:eastAsia="仿宋_GB2312"/>
                      <w:sz w:val="21"/>
                    </w:rPr>
                    <w:t>0.10</w:t>
                  </w:r>
                </w:p>
              </w:tc>
              <w:tc>
                <w:tcPr>
                  <w:tcW w:type="dxa" w:w="638"/>
                  <w:tcBorders>
                    <w:top w:val="none" w:color="000000" w:sz="4"/>
                    <w:left w:val="none" w:color="000000" w:sz="4"/>
                    <w:bottom w:val="single" w:color="000000" w:sz="4"/>
                    <w:right w:val="single" w:color="000000" w:sz="4"/>
                  </w:tcBorders>
                  <w:tcMar>
                    <w:top w:type="dxa" w:w="180"/>
                    <w:left w:type="dxa" w:w="270"/>
                    <w:bottom w:type="dxa" w:w="180"/>
                    <w:right w:type="dxa" w:w="270"/>
                  </w:tcMar>
                  <w:vAlign w:val="top"/>
                </w:tcPr>
                <w:p>
                  <w:pPr>
                    <w:pStyle w:val="null3"/>
                    <w:ind w:left="45"/>
                    <w:jc w:val="center"/>
                  </w:pPr>
                  <w:r>
                    <w:rPr>
                      <w:rFonts w:ascii="仿宋_GB2312" w:hAnsi="仿宋_GB2312" w:cs="仿宋_GB2312" w:eastAsia="仿宋_GB2312"/>
                      <w:sz w:val="21"/>
                    </w:rPr>
                    <w:t>GB 18306-2015</w:t>
                  </w:r>
                </w:p>
              </w:tc>
            </w:tr>
            <w:tr>
              <w:tc>
                <w:tcPr>
                  <w:tcW w:type="dxa" w:w="638"/>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45"/>
                    <w:jc w:val="center"/>
                  </w:pPr>
                  <w:r>
                    <w:rPr>
                      <w:rFonts w:ascii="仿宋_GB2312" w:hAnsi="仿宋_GB2312" w:cs="仿宋_GB2312" w:eastAsia="仿宋_GB2312"/>
                      <w:sz w:val="21"/>
                    </w:rPr>
                    <w:t>地震动反应谱特征周期</w:t>
                  </w:r>
                </w:p>
              </w:tc>
              <w:tc>
                <w:tcPr>
                  <w:tcW w:type="dxa" w:w="638"/>
                  <w:tcBorders>
                    <w:top w:val="none" w:color="000000" w:sz="4"/>
                    <w:left w:val="none" w:color="000000" w:sz="4"/>
                    <w:bottom w:val="single" w:color="000000" w:sz="4"/>
                    <w:right w:val="single" w:color="000000" w:sz="4"/>
                  </w:tcBorders>
                  <w:tcMar>
                    <w:top w:type="dxa" w:w="180"/>
                    <w:left w:type="dxa" w:w="270"/>
                    <w:bottom w:type="dxa" w:w="180"/>
                    <w:right w:type="dxa" w:w="270"/>
                  </w:tcMar>
                  <w:vAlign w:val="top"/>
                </w:tcPr>
                <w:p>
                  <w:pPr>
                    <w:pStyle w:val="null3"/>
                    <w:ind w:left="45"/>
                    <w:jc w:val="center"/>
                  </w:pPr>
                  <w:r>
                    <w:rPr>
                      <w:rFonts w:ascii="仿宋_GB2312" w:hAnsi="仿宋_GB2312" w:cs="仿宋_GB2312" w:eastAsia="仿宋_GB2312"/>
                      <w:sz w:val="21"/>
                    </w:rPr>
                    <w:t>s</w:t>
                  </w:r>
                </w:p>
              </w:tc>
              <w:tc>
                <w:tcPr>
                  <w:tcW w:type="dxa" w:w="638"/>
                  <w:tcBorders>
                    <w:top w:val="none" w:color="000000" w:sz="4"/>
                    <w:left w:val="none" w:color="000000" w:sz="4"/>
                    <w:bottom w:val="single" w:color="000000" w:sz="4"/>
                    <w:right w:val="single" w:color="000000" w:sz="4"/>
                  </w:tcBorders>
                  <w:tcMar>
                    <w:top w:type="dxa" w:w="180"/>
                    <w:left w:type="dxa" w:w="270"/>
                    <w:bottom w:type="dxa" w:w="180"/>
                    <w:right w:type="dxa" w:w="270"/>
                  </w:tcMar>
                  <w:vAlign w:val="top"/>
                </w:tcPr>
                <w:p>
                  <w:pPr>
                    <w:pStyle w:val="null3"/>
                    <w:ind w:left="45"/>
                    <w:jc w:val="center"/>
                  </w:pPr>
                  <w:r>
                    <w:rPr>
                      <w:rFonts w:ascii="仿宋_GB2312" w:hAnsi="仿宋_GB2312" w:cs="仿宋_GB2312" w:eastAsia="仿宋_GB2312"/>
                      <w:sz w:val="21"/>
                    </w:rPr>
                    <w:t>0.35</w:t>
                  </w:r>
                </w:p>
              </w:tc>
              <w:tc>
                <w:tcPr>
                  <w:tcW w:type="dxa" w:w="638"/>
                  <w:tcBorders>
                    <w:top w:val="none" w:color="000000" w:sz="4"/>
                    <w:left w:val="none" w:color="000000" w:sz="4"/>
                    <w:bottom w:val="single" w:color="000000" w:sz="4"/>
                    <w:right w:val="single" w:color="000000" w:sz="4"/>
                  </w:tcBorders>
                  <w:tcMar>
                    <w:top w:type="dxa" w:w="180"/>
                    <w:left w:type="dxa" w:w="270"/>
                    <w:bottom w:type="dxa" w:w="180"/>
                    <w:right w:type="dxa" w:w="270"/>
                  </w:tcMar>
                  <w:vAlign w:val="top"/>
                </w:tcPr>
                <w:p>
                  <w:pPr>
                    <w:pStyle w:val="null3"/>
                    <w:ind w:left="45"/>
                    <w:jc w:val="center"/>
                  </w:pPr>
                  <w:r>
                    <w:rPr>
                      <w:rFonts w:ascii="仿宋_GB2312" w:hAnsi="仿宋_GB2312" w:cs="仿宋_GB2312" w:eastAsia="仿宋_GB2312"/>
                      <w:sz w:val="21"/>
                    </w:rPr>
                    <w:t>区域地质条件</w:t>
                  </w:r>
                </w:p>
              </w:tc>
            </w:tr>
            <w:tr>
              <w:tc>
                <w:tcPr>
                  <w:tcW w:type="dxa" w:w="638"/>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left="45"/>
                    <w:jc w:val="center"/>
                  </w:pPr>
                  <w:r>
                    <w:rPr>
                      <w:rFonts w:ascii="仿宋_GB2312" w:hAnsi="仿宋_GB2312" w:cs="仿宋_GB2312" w:eastAsia="仿宋_GB2312"/>
                      <w:sz w:val="21"/>
                    </w:rPr>
                    <w:t>设计洪水频率</w:t>
                  </w:r>
                </w:p>
              </w:tc>
              <w:tc>
                <w:tcPr>
                  <w:tcW w:type="dxa" w:w="638"/>
                  <w:tcBorders>
                    <w:top w:val="none" w:color="000000" w:sz="4"/>
                    <w:left w:val="none" w:color="000000" w:sz="4"/>
                    <w:bottom w:val="single" w:color="000000" w:sz="4"/>
                    <w:right w:val="single" w:color="000000" w:sz="4"/>
                  </w:tcBorders>
                  <w:tcMar>
                    <w:top w:type="dxa" w:w="180"/>
                    <w:left w:type="dxa" w:w="270"/>
                    <w:bottom w:type="dxa" w:w="180"/>
                    <w:right w:type="dxa" w:w="270"/>
                  </w:tcMar>
                  <w:vAlign w:val="top"/>
                </w:tcPr>
                <w:p>
                  <w:pPr>
                    <w:pStyle w:val="null3"/>
                    <w:ind w:left="45"/>
                    <w:jc w:val="center"/>
                  </w:pPr>
                </w:p>
              </w:tc>
              <w:tc>
                <w:tcPr>
                  <w:tcW w:type="dxa" w:w="638"/>
                  <w:tcBorders>
                    <w:top w:val="none" w:color="000000" w:sz="4"/>
                    <w:left w:val="none" w:color="000000" w:sz="4"/>
                    <w:bottom w:val="single" w:color="000000" w:sz="4"/>
                    <w:right w:val="single" w:color="000000" w:sz="4"/>
                  </w:tcBorders>
                  <w:tcMar>
                    <w:top w:type="dxa" w:w="180"/>
                    <w:left w:type="dxa" w:w="270"/>
                    <w:bottom w:type="dxa" w:w="180"/>
                    <w:right w:type="dxa" w:w="270"/>
                  </w:tcMar>
                  <w:vAlign w:val="top"/>
                </w:tcPr>
                <w:p>
                  <w:pPr>
                    <w:pStyle w:val="null3"/>
                    <w:jc w:val="center"/>
                  </w:pPr>
                  <w:r>
                    <w:rPr>
                      <w:rFonts w:ascii="仿宋_GB2312" w:hAnsi="仿宋_GB2312" w:cs="仿宋_GB2312" w:eastAsia="仿宋_GB2312"/>
                      <w:sz w:val="21"/>
                    </w:rPr>
                    <w:t>涵洞</w:t>
                  </w:r>
                  <w:r>
                    <w:rPr>
                      <w:rFonts w:ascii="仿宋_GB2312" w:hAnsi="仿宋_GB2312" w:cs="仿宋_GB2312" w:eastAsia="仿宋_GB2312"/>
                      <w:sz w:val="21"/>
                    </w:rPr>
                    <w:t>1/50</w:t>
                  </w:r>
                </w:p>
              </w:tc>
              <w:tc>
                <w:tcPr>
                  <w:tcW w:type="dxa" w:w="638"/>
                  <w:tcBorders>
                    <w:top w:val="none" w:color="000000" w:sz="4"/>
                    <w:left w:val="none" w:color="000000" w:sz="4"/>
                    <w:bottom w:val="single" w:color="000000" w:sz="4"/>
                    <w:right w:val="single" w:color="000000" w:sz="4"/>
                  </w:tcBorders>
                  <w:tcMar>
                    <w:top w:type="dxa" w:w="180"/>
                    <w:left w:type="dxa" w:w="270"/>
                    <w:bottom w:type="dxa" w:w="180"/>
                    <w:right w:type="dxa" w:w="270"/>
                  </w:tcMar>
                  <w:vAlign w:val="top"/>
                </w:tcPr>
                <w:p>
                  <w:pPr>
                    <w:pStyle w:val="null3"/>
                    <w:ind w:left="45"/>
                    <w:jc w:val="center"/>
                  </w:pPr>
                  <w:r>
                    <w:rPr>
                      <w:rFonts w:ascii="仿宋_GB2312" w:hAnsi="仿宋_GB2312" w:cs="仿宋_GB2312" w:eastAsia="仿宋_GB2312"/>
                      <w:sz w:val="21"/>
                    </w:rPr>
                    <w:t>JTG D60-2015</w:t>
                  </w:r>
                </w:p>
              </w:tc>
            </w:tr>
          </w:tbl>
          <w:p>
            <w:pPr>
              <w:pStyle w:val="null3"/>
              <w:ind w:firstLine="422"/>
              <w:jc w:val="both"/>
            </w:pPr>
            <w:r>
              <w:rPr>
                <w:rFonts w:ascii="仿宋_GB2312" w:hAnsi="仿宋_GB2312" w:cs="仿宋_GB2312" w:eastAsia="仿宋_GB2312"/>
                <w:sz w:val="21"/>
                <w:b/>
              </w:rPr>
              <w:t>五、项目进度计划</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勘察设计周期：</w:t>
            </w:r>
            <w:r>
              <w:rPr>
                <w:rFonts w:ascii="仿宋_GB2312" w:hAnsi="仿宋_GB2312" w:cs="仿宋_GB2312" w:eastAsia="仿宋_GB2312"/>
                <w:sz w:val="21"/>
              </w:rPr>
              <w:t>2025年8月底前完成，分阶段如下：</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初步勘察设计（</w:t>
            </w:r>
            <w:r>
              <w:rPr>
                <w:rFonts w:ascii="仿宋_GB2312" w:hAnsi="仿宋_GB2312" w:cs="仿宋_GB2312" w:eastAsia="仿宋_GB2312"/>
                <w:sz w:val="21"/>
              </w:rPr>
              <w:t>2025年7月底前）：完成路线方案比选、地形地质初勘、路基路面初步设计。</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详细勘察设计（</w:t>
            </w:r>
            <w:r>
              <w:rPr>
                <w:rFonts w:ascii="仿宋_GB2312" w:hAnsi="仿宋_GB2312" w:cs="仿宋_GB2312" w:eastAsia="仿宋_GB2312"/>
                <w:sz w:val="21"/>
              </w:rPr>
              <w:t>2025年8月底前）：完成施工图设计、工程量清单编制、施工组织设计及环保专项设计。</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配合施工阶段：施工期间提供现场技术服务，解决设计变更问题，参与隐蔽工程验收和竣工验收。</w:t>
            </w:r>
          </w:p>
          <w:p>
            <w:pPr>
              <w:pStyle w:val="null3"/>
              <w:ind w:firstLine="422"/>
              <w:jc w:val="both"/>
            </w:pPr>
            <w:r>
              <w:rPr>
                <w:rFonts w:ascii="仿宋_GB2312" w:hAnsi="仿宋_GB2312" w:cs="仿宋_GB2312" w:eastAsia="仿宋_GB2312"/>
                <w:sz w:val="21"/>
                <w:b/>
              </w:rPr>
              <w:t>六、投资控制与资金安排</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投资估算：总投资</w:t>
            </w:r>
            <w:r>
              <w:rPr>
                <w:rFonts w:ascii="仿宋_GB2312" w:hAnsi="仿宋_GB2312" w:cs="仿宋_GB2312" w:eastAsia="仿宋_GB2312"/>
                <w:sz w:val="21"/>
              </w:rPr>
              <w:t xml:space="preserve"> 4572.88 万元，其中勘察设计费按工程建设其他费用的比例控制（参考可研报告第三部分费用 294.62 万元）。</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资金来源：省补资金、一般债券、独立工矿区资金及地方财政统筹，勘察设计费用纳入项目前期预算。</w:t>
            </w:r>
          </w:p>
          <w:p>
            <w:pPr>
              <w:pStyle w:val="null3"/>
              <w:ind w:firstLine="422"/>
              <w:jc w:val="both"/>
            </w:pPr>
            <w:r>
              <w:rPr>
                <w:rFonts w:ascii="仿宋_GB2312" w:hAnsi="仿宋_GB2312" w:cs="仿宋_GB2312" w:eastAsia="仿宋_GB2312"/>
                <w:sz w:val="21"/>
                <w:b/>
              </w:rPr>
              <w:t>七、质量与安全要求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质量目标</w:t>
            </w:r>
          </w:p>
          <w:p>
            <w:pPr>
              <w:pStyle w:val="null3"/>
              <w:ind w:firstLine="420"/>
              <w:jc w:val="both"/>
            </w:pPr>
            <w:r>
              <w:rPr>
                <w:rFonts w:ascii="仿宋_GB2312" w:hAnsi="仿宋_GB2312" w:cs="仿宋_GB2312" w:eastAsia="仿宋_GB2312"/>
                <w:sz w:val="21"/>
              </w:rPr>
              <w:t>符合国家及行业标准。</w:t>
            </w:r>
          </w:p>
          <w:p>
            <w:pPr>
              <w:pStyle w:val="null3"/>
              <w:ind w:firstLine="420"/>
              <w:jc w:val="both"/>
            </w:pPr>
            <w:r>
              <w:rPr>
                <w:rFonts w:ascii="仿宋_GB2312" w:hAnsi="仿宋_GB2312" w:cs="仿宋_GB2312" w:eastAsia="仿宋_GB2312"/>
                <w:sz w:val="21"/>
              </w:rPr>
              <w:t>勘察成果需通过第三方评审，设计文件需经专家论证，确保路基、桥涵等结构安全可靠。</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安全要求</w:t>
            </w:r>
          </w:p>
          <w:p>
            <w:pPr>
              <w:pStyle w:val="null3"/>
              <w:ind w:firstLine="420"/>
              <w:jc w:val="both"/>
            </w:pPr>
            <w:r>
              <w:rPr>
                <w:rFonts w:ascii="仿宋_GB2312" w:hAnsi="仿宋_GB2312" w:cs="仿宋_GB2312" w:eastAsia="仿宋_GB2312"/>
                <w:sz w:val="21"/>
              </w:rPr>
              <w:t>路线设计避开地质灾害高发区，无法避开时需制定专项防护方案（如滑坡治理、高边坡加固）。</w:t>
            </w:r>
          </w:p>
          <w:p>
            <w:pPr>
              <w:pStyle w:val="null3"/>
              <w:ind w:firstLine="422"/>
              <w:jc w:val="both"/>
            </w:pPr>
            <w:r>
              <w:rPr>
                <w:rFonts w:ascii="仿宋_GB2312" w:hAnsi="仿宋_GB2312" w:cs="仿宋_GB2312" w:eastAsia="仿宋_GB2312"/>
                <w:sz w:val="21"/>
                <w:b/>
              </w:rPr>
              <w:t>八、环境保护与节能要求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生态保护</w:t>
            </w:r>
          </w:p>
          <w:p>
            <w:pPr>
              <w:pStyle w:val="null3"/>
              <w:ind w:firstLine="420"/>
              <w:jc w:val="both"/>
            </w:pPr>
            <w:r>
              <w:rPr>
                <w:rFonts w:ascii="仿宋_GB2312" w:hAnsi="仿宋_GB2312" w:cs="仿宋_GB2312" w:eastAsia="仿宋_GB2312"/>
                <w:sz w:val="21"/>
              </w:rPr>
              <w:t>严格避让生态保护红线，优化取弃土场选址（全线设</w:t>
            </w:r>
            <w:r>
              <w:rPr>
                <w:rFonts w:ascii="仿宋_GB2312" w:hAnsi="仿宋_GB2312" w:cs="仿宋_GB2312" w:eastAsia="仿宋_GB2312"/>
                <w:sz w:val="21"/>
              </w:rPr>
              <w:t xml:space="preserve"> 1 处弃土场），施工结束后复垦绿化。</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节能措施</w:t>
            </w:r>
          </w:p>
          <w:p>
            <w:pPr>
              <w:pStyle w:val="null3"/>
              <w:ind w:firstLine="420"/>
              <w:jc w:val="both"/>
            </w:pPr>
            <w:r>
              <w:rPr>
                <w:rFonts w:ascii="仿宋_GB2312" w:hAnsi="仿宋_GB2312" w:cs="仿宋_GB2312" w:eastAsia="仿宋_GB2312"/>
                <w:sz w:val="21"/>
              </w:rPr>
              <w:t>优先采用本地材料（如富平块片石、铜川水泥），减少运输能耗。</w:t>
            </w:r>
          </w:p>
          <w:p>
            <w:pPr>
              <w:pStyle w:val="null3"/>
              <w:ind w:firstLine="420"/>
              <w:jc w:val="both"/>
            </w:pPr>
            <w:r>
              <w:rPr>
                <w:rFonts w:ascii="仿宋_GB2312" w:hAnsi="仿宋_GB2312" w:cs="仿宋_GB2312" w:eastAsia="仿宋_GB2312"/>
                <w:sz w:val="21"/>
              </w:rPr>
              <w:t>推广节能型照明设施（</w:t>
            </w:r>
            <w:r>
              <w:rPr>
                <w:rFonts w:ascii="仿宋_GB2312" w:hAnsi="仿宋_GB2312" w:cs="仿宋_GB2312" w:eastAsia="仿宋_GB2312"/>
                <w:sz w:val="21"/>
              </w:rPr>
              <w:t>LED 路灯）和智能交通管理系统，降低运营期能源消耗。</w:t>
            </w:r>
          </w:p>
          <w:p>
            <w:pPr>
              <w:pStyle w:val="null3"/>
              <w:ind w:firstLine="422"/>
              <w:jc w:val="both"/>
            </w:pPr>
            <w:r>
              <w:rPr>
                <w:rFonts w:ascii="仿宋_GB2312" w:hAnsi="仿宋_GB2312" w:cs="仿宋_GB2312" w:eastAsia="仿宋_GB2312"/>
                <w:sz w:val="21"/>
                <w:b/>
              </w:rPr>
              <w:t>九、成果交付要求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勘察文件</w:t>
            </w:r>
          </w:p>
          <w:p>
            <w:pPr>
              <w:pStyle w:val="null3"/>
              <w:ind w:firstLine="420"/>
              <w:jc w:val="both"/>
            </w:pPr>
            <w:r>
              <w:rPr>
                <w:rFonts w:ascii="仿宋_GB2312" w:hAnsi="仿宋_GB2312" w:cs="仿宋_GB2312" w:eastAsia="仿宋_GB2312"/>
                <w:sz w:val="21"/>
              </w:rPr>
              <w:t>提供《工程地质勘察报告》，附地形地貌图、地质剖面图、不良地质分布图。</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设计文件</w:t>
            </w:r>
          </w:p>
          <w:p>
            <w:pPr>
              <w:pStyle w:val="null3"/>
              <w:ind w:firstLine="420"/>
              <w:jc w:val="both"/>
            </w:pPr>
            <w:r>
              <w:rPr>
                <w:rFonts w:ascii="仿宋_GB2312" w:hAnsi="仿宋_GB2312" w:cs="仿宋_GB2312" w:eastAsia="仿宋_GB2312"/>
                <w:sz w:val="21"/>
              </w:rPr>
              <w:t>按《公路工程基本建设项目设计文件编制办法》提交全套设计图纸（路线、路基路面、桥涵、交通工程等）。</w:t>
            </w:r>
          </w:p>
          <w:p>
            <w:pPr>
              <w:pStyle w:val="null3"/>
              <w:ind w:firstLine="420"/>
              <w:jc w:val="both"/>
            </w:pPr>
            <w:r>
              <w:rPr>
                <w:rFonts w:ascii="仿宋_GB2312" w:hAnsi="仿宋_GB2312" w:cs="仿宋_GB2312" w:eastAsia="仿宋_GB2312"/>
                <w:sz w:val="21"/>
              </w:rPr>
              <w:t>电子文档：提供</w:t>
            </w:r>
            <w:r>
              <w:rPr>
                <w:rFonts w:ascii="仿宋_GB2312" w:hAnsi="仿宋_GB2312" w:cs="仿宋_GB2312" w:eastAsia="仿宋_GB2312"/>
                <w:sz w:val="21"/>
              </w:rPr>
              <w:t xml:space="preserve"> CAD 图纸、BIM 模型（可选）、GIS 地理信息数据及多媒体汇报材料。</w:t>
            </w:r>
          </w:p>
          <w:p>
            <w:pPr>
              <w:pStyle w:val="null3"/>
              <w:ind w:firstLine="422"/>
              <w:jc w:val="both"/>
            </w:pPr>
            <w:r>
              <w:rPr>
                <w:rFonts w:ascii="仿宋_GB2312" w:hAnsi="仿宋_GB2312" w:cs="仿宋_GB2312" w:eastAsia="仿宋_GB2312"/>
                <w:sz w:val="21"/>
                <w:b/>
              </w:rPr>
              <w:t>十、其他要求</w:t>
            </w:r>
          </w:p>
          <w:p>
            <w:pPr>
              <w:pStyle w:val="null3"/>
              <w:ind w:firstLine="420"/>
              <w:jc w:val="both"/>
            </w:pPr>
            <w:r>
              <w:rPr>
                <w:rFonts w:ascii="仿宋_GB2312" w:hAnsi="仿宋_GB2312" w:cs="仿宋_GB2312" w:eastAsia="仿宋_GB2312"/>
                <w:sz w:val="21"/>
              </w:rPr>
              <w:t>沟通协调：设计过程中需与印台区交通局、自然资源局、农业高新技术产业示范区管委会等部门充分对接，征求沿线村镇意见，优化设计方案。</w:t>
            </w:r>
          </w:p>
          <w:p>
            <w:pPr>
              <w:pStyle w:val="null3"/>
              <w:ind w:firstLine="420"/>
              <w:jc w:val="both"/>
            </w:pPr>
            <w:r>
              <w:rPr>
                <w:rFonts w:ascii="仿宋_GB2312" w:hAnsi="仿宋_GB2312" w:cs="仿宋_GB2312" w:eastAsia="仿宋_GB2312"/>
                <w:sz w:val="21"/>
              </w:rPr>
              <w:t>知识产权：设计成果知识产权归建设单位所有，设计单位需保证成果无侵权风险，提供完整的原始勘察数据和计算书。</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符合国家和行业制定的相关的标准和规范。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勘查设计成果编写完成后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相关部门技术审查通过后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的会计师事务所或审计机构审计的财务审计报告(包括审计报告、资产负债表、利润表、现金流量表、附注等全部内容，成立时间至提交响应文件截止时间不足一年的可提供成立后任意时段的资产负债表)及财务情况说明书，或提交响应文件前六个月内其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供应商为合法注册的法人或其他组织或自然人，提供营业执照（或事业法人证）；自然人的身份证明；供应商需在项目电子化交易系统中按要求上传相应证明文件并进行电子签章；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须同时具备：①有效的公路行业（公路）专业设计乙级及以上资质；②有效的工程勘察综合资质或工程勘察专业类（工程测量、岩土工程）专业乙级及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法定代表人授权书及被授权人身份证（法定代表人直接参与，只须提交其身份证）；供应商需在项目电子化交易系统中按要求上传相应证明文件并进行电子签章；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供应商需提供截止至投标截止时间前六个月内任意一个月的税收缴纳缴费凭据；（依法免税的供应商应提供相关文件证明）；供应商需在项目电子化交易系统中按要求上传相应证明文件并进行电子签章；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社保缴纳凭证</w:t>
            </w:r>
          </w:p>
        </w:tc>
        <w:tc>
          <w:tcPr>
            <w:tcW w:type="dxa" w:w="3322"/>
          </w:tcPr>
          <w:p>
            <w:pPr>
              <w:pStyle w:val="null3"/>
            </w:pPr>
            <w:r>
              <w:rPr>
                <w:rFonts w:ascii="仿宋_GB2312" w:hAnsi="仿宋_GB2312" w:cs="仿宋_GB2312" w:eastAsia="仿宋_GB2312"/>
              </w:rPr>
              <w:t>供应商需提供截止至投标截止时间前六个月内任意一个月的社保缴费凭据或社保机构开具的社会保险参保缴费情况证明；（依法不需要缴纳社会保障资金的供应商应提供相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供应商参加政府采购活动前三年内在经营活动中没有重大违法记录的书面声明。（格式自拟）；供应商需在项目电子化交易系统中按要求上传相应证明文件并进行电子签章；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招标文件的规定和要求在响应文件中指定的页面落款处加盖公章或由法定代表人或授权人签名（或盖章），其余页面逐页盖公章，否则将作为无效响应文件处理。招标文件凡是要求法定代表人签名或盖章之处，非法人单位的负责人参照执行。</w:t>
            </w:r>
          </w:p>
        </w:tc>
        <w:tc>
          <w:tcPr>
            <w:tcW w:type="dxa" w:w="1661"/>
          </w:tcPr>
          <w:p>
            <w:pPr>
              <w:pStyle w:val="null3"/>
            </w:pPr>
            <w:r>
              <w:rPr>
                <w:rFonts w:ascii="仿宋_GB2312" w:hAnsi="仿宋_GB2312" w:cs="仿宋_GB2312" w:eastAsia="仿宋_GB2312"/>
              </w:rPr>
              <w:t>法人证明书.docx 服务内容及服务邀请应答表 中小企业声明函 商务应答表 供应商业绩一览表.docx 供应商应提交的相关资格证明材料 报价表 响应文件封面 法人授权书.docx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响应文件所有报价未超过采购限额</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自首次递交响应文件之日起90日历天</w:t>
            </w:r>
          </w:p>
        </w:tc>
        <w:tc>
          <w:tcPr>
            <w:tcW w:type="dxa" w:w="1661"/>
          </w:tcPr>
          <w:p>
            <w:pPr>
              <w:pStyle w:val="null3"/>
            </w:pPr>
            <w:r>
              <w:rPr>
                <w:rFonts w:ascii="仿宋_GB2312" w:hAnsi="仿宋_GB2312" w:cs="仿宋_GB2312" w:eastAsia="仿宋_GB2312"/>
              </w:rPr>
              <w:t>法人授权书.docx 法人证明书.docx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A、供应商的响应报价有选择性报价或者磋商报价重新计算后超过本项目采购预算或者最高限价的； B、供应商未经过正常渠道领取招标文件，或供应商名称与领取招标文件时登记的供应商名称不符的； C、无投标有效期或有效期达不到招标文件要求的； D、供应商针对同一项目递交两份或多份内容不同的响应文件，未书面声明哪一份是有效的或出现选择性报价的； E、提供虚假资料；提供虚假资质、虚假技术 指标证明材料、虚假证明（包括第三方提供的虚假证明）；出现虚假应答、承诺、声明的； F、供应商附加了采购单位难以接受的条件或条款的； G、供应商前期参与了本次项目方案设计的； H、在政府采购或其它重大项目履约过程中有不良记录或未能按期履约的； I、供应商使用虚假印章或印章无法证实为真实有效； J、投标报价与市场价格偏离较大、低于成本、形成不正当竞争的； K、报价子目出现漏项或报价与要求不符的； L、供应商响应的采购范围及采购内容与招标文件要求出现重大负偏差的； M、实质性内容不满足、未完全未响应招标要求或擅自改动工程量清单的； N、供应商有串通参与投标、行贿等违法行为的； O、响应文件的关键内容字迹模糊、无法辨认的； P、不符合法律、法规规定的其它实质性要求的。</w:t>
            </w:r>
          </w:p>
        </w:tc>
        <w:tc>
          <w:tcPr>
            <w:tcW w:type="dxa" w:w="1661"/>
          </w:tcPr>
          <w:p>
            <w:pPr>
              <w:pStyle w:val="null3"/>
            </w:pPr>
            <w:r>
              <w:rPr>
                <w:rFonts w:ascii="仿宋_GB2312" w:hAnsi="仿宋_GB2312" w:cs="仿宋_GB2312" w:eastAsia="仿宋_GB2312"/>
              </w:rPr>
              <w:t>法人证明书.docx 服务内容及服务邀请应答表 中小企业声明函 商务应答表 供应商业绩一览表.docx 供应商应提交的相关资格证明材料 报价表 响应文件封面 法人授权书.docx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1.勘察方案：提供完善合理、全面的勘察服务方案，符合勘察原则及标准 。方案明确、细节考虑到位，计10分；方案、细节基本明确，描述基本满足需求计7分；描述符合要求，内容不详尽或不适用本项目的记3分；未提供本项不计分。 2.设计方案：提供完善的设计服务方案 。方案完整、可操作性强、细节考虑到位，计20分；服务方案基本完整，有相对的可操作性，描述基本满足需求的计12分；描述符合要求，内容不详尽或不适用本项目的计5分；未提供本项不计分。 3. 质量保证措施：具有切实可行的质量保障体系措施，体系完整，标准严格，措施有力，针对性强，能保证设计成果达到质量要求。根据措施描述完整、可操作性强、细节描述详细优越计5分；有相对的操作性描述基本满足需求的计3分；相对比内容不详尽或不适用本项目的计1分；未提供本项不计分。 4.进度保证措施：项目实施进度计划合理，可操作性强，有对突发事件的应急方 案及措施，在保证设计质量的前提下按期完成所有设计内容。根据措施描述完整、可操作性强、细节描述详细优越计5分；有相对的操作性描述基本满足需求的计3分；相对比内容不详尽或不适用本项目的计1分；未提供本项不计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负责人具有相关专业高级及以上职称得5分；提供项目负责人二级及以上类似业绩一份得1分，最多得3分；注:提供中标(成交)通知书或合同复印件，体现项目负责人姓名。如上述文件不能体现项目负责人姓名的，本项不得分。（须提供职称证、劳动合同或社保证明复印件加盖公章）； 2、除项目负责人外，拟派本项目其他设计技术人员，具有高级及以上职称的人员每提供一个得1分，最高得4分。（须提供职称证、劳动合同或社保证明复印件加盖公章）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后续服务的安排及保证措施</w:t>
            </w:r>
          </w:p>
        </w:tc>
        <w:tc>
          <w:tcPr>
            <w:tcW w:type="dxa" w:w="2492"/>
          </w:tcPr>
          <w:p>
            <w:pPr>
              <w:pStyle w:val="null3"/>
            </w:pPr>
            <w:r>
              <w:rPr>
                <w:rFonts w:ascii="仿宋_GB2312" w:hAnsi="仿宋_GB2312" w:cs="仿宋_GB2312" w:eastAsia="仿宋_GB2312"/>
              </w:rPr>
              <w:t>后续服务的安排与承诺针对性强、合理可行的计8分； 后续服务安排较合理、保证措施较为得当的计6分。 后续服务安排、保证措施不详尽或不适用本项目的计3分， 未提供本项不计分。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预期的设计、勘察成果及成果文件</w:t>
            </w:r>
          </w:p>
        </w:tc>
        <w:tc>
          <w:tcPr>
            <w:tcW w:type="dxa" w:w="2492"/>
          </w:tcPr>
          <w:p>
            <w:pPr>
              <w:pStyle w:val="null3"/>
            </w:pPr>
            <w:r>
              <w:rPr>
                <w:rFonts w:ascii="仿宋_GB2312" w:hAnsi="仿宋_GB2312" w:cs="仿宋_GB2312" w:eastAsia="仿宋_GB2312"/>
              </w:rPr>
              <w:t>提供预期的设计、勘察成果文件清单、图纸等，内容全面可行，符合项目需求得10分，基本符合项目需求得6分，一般得3分，未提供本项不计分。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2022年1月1日至投标截止之日(时问以合同或中标通知书为依据)，投标人承担过类似工程的勘察设计项目，每提供一个二级及以上类似工程业绩得2分，本项最高得16分。注:业绩以合同或中标通知书为依据，每个项目需提供合同扫件或中标通知书(扫猫件并加盖投标人公章，合同扫描件需包含：合同协议书，双方盖章页，合同签订日期等。缺一项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针对本项目提出合理化建议，科学专业、切实可行，符合项目需求得4分； 基本符合项目需求得2分，未提供本项不计分。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 ×价格分值【注：满足招标文件 要求且投标价格最低的投标报价为评标基准价。】最低报价不是中标的唯一依据。因落实政府采购政策进行价格调整的，以调整后的价格计算评标基准价和投标报价。 计算分数时四舍五入取小数点后两位。 注：（1）根据《政府采购促进中小企业发展管理办法》的通知--财库〔2020〕46号的相关规定，对小型和微型企业的价格给予10%的扣除，用扣除后的价格参与评审。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 （3）《关于进一步加大政府采购支持中小企业力度的通知》（财库〔2022〕19号）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详见附件：供应商业绩一览表.docx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