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版本号：SZTGK-XA-250621-HW20250629001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2025年防汛物资采购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SZTGK-XA-250621-HW</w:t>
      </w:r>
      <w:r>
        <w:br/>
      </w:r>
      <w:r>
        <w:br/>
      </w:r>
      <w:r>
        <w:br/>
      </w:r>
    </w:p>
    <w:p>
      <w:pPr>
        <w:pStyle w:val="null3"/>
        <w:jc w:val="center"/>
        <w:outlineLvl w:val="2"/>
      </w:pPr>
      <w:r>
        <w:rPr>
          <w:rFonts w:ascii="仿宋_GB2312" w:hAnsi="仿宋_GB2312" w:cs="仿宋_GB2312" w:eastAsia="仿宋_GB2312"/>
          <w:sz w:val="28"/>
          <w:b/>
        </w:rPr>
        <w:t>铜川市印台区水旱灾害防御中心</w:t>
      </w:r>
    </w:p>
    <w:p>
      <w:pPr>
        <w:pStyle w:val="null3"/>
        <w:jc w:val="center"/>
        <w:outlineLvl w:val="2"/>
      </w:pPr>
      <w:r>
        <w:rPr>
          <w:rFonts w:ascii="仿宋_GB2312" w:hAnsi="仿宋_GB2312" w:cs="仿宋_GB2312" w:eastAsia="仿宋_GB2312"/>
          <w:sz w:val="28"/>
          <w:b/>
        </w:rPr>
        <w:t>陕西省中投招标有限责任公司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陕西省中投招标有限责任公司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铜川市印台区水旱灾害防御中心</w:t>
      </w:r>
      <w:r>
        <w:rPr>
          <w:rFonts w:ascii="仿宋_GB2312" w:hAnsi="仿宋_GB2312" w:cs="仿宋_GB2312" w:eastAsia="仿宋_GB2312"/>
        </w:rPr>
        <w:t>委托，拟对</w:t>
      </w:r>
      <w:r>
        <w:rPr>
          <w:rFonts w:ascii="仿宋_GB2312" w:hAnsi="仿宋_GB2312" w:cs="仿宋_GB2312" w:eastAsia="仿宋_GB2312"/>
        </w:rPr>
        <w:t>2025年防汛物资采购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SZTGK-XA-250621-HW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2025年防汛物资采购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采购防汛物资一批。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采购包1（2025年防汛物资）：属于专门面向中小企业采购。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1、营业执照：1)根据供应商类别进行提供： ①如供应商是企业（包括合伙企业），应提供在工 商部门注册的有效“企业法人营业执照”或“营业执照”； ②如供应商是事业单位， 应提供有效的“事业单位法人证书”； ③如供应商是为企业专业服务机构的，应提 供执业许可证等证明文件； ④如供应商是个体工商户，应提供有效的“个体工商户 营业执照”； ⑤如供应商为自然人，应提供有效的自然人身份证明。 供货商需在项 目电子化交易系统中按要求上传相应证明文件并进行电子签章；</w:t>
      </w:r>
    </w:p>
    <w:p>
      <w:pPr>
        <w:pStyle w:val="null3"/>
      </w:pPr>
      <w:r>
        <w:rPr>
          <w:rFonts w:ascii="仿宋_GB2312" w:hAnsi="仿宋_GB2312" w:cs="仿宋_GB2312" w:eastAsia="仿宋_GB2312"/>
        </w:rPr>
        <w:t>2、法定代表人授权委托书：法定代表人授权委托书（附法定代表人、被授权人身份证复印件并加盖公章）和被 授权人身 份证原件。（法定代表人参加投标只须提供法定代表人身份证明书及身 份证原件），供货商需在项目电子化交易系统中按要求上传相应证明文件并进行电 子签章；</w:t>
      </w:r>
    </w:p>
    <w:p>
      <w:pPr>
        <w:pStyle w:val="null3"/>
      </w:pPr>
      <w:r>
        <w:rPr>
          <w:rFonts w:ascii="仿宋_GB2312" w:hAnsi="仿宋_GB2312" w:cs="仿宋_GB2312" w:eastAsia="仿宋_GB2312"/>
        </w:rPr>
        <w:t>3、财务报告：提供2023年度或2024年度经审计的财务报告（成立时间至提交投标响 应文件截止时间不足一年的可提供成立后任意时段的资产 负债表），或投标截止日期前6个月内银行出具的资信证明 ；供应商需在项目电子化交易系统中按要求上传相应证明 文件并进行电子签章；</w:t>
      </w:r>
    </w:p>
    <w:p>
      <w:pPr>
        <w:pStyle w:val="null3"/>
      </w:pPr>
      <w:r>
        <w:rPr>
          <w:rFonts w:ascii="仿宋_GB2312" w:hAnsi="仿宋_GB2312" w:cs="仿宋_GB2312" w:eastAsia="仿宋_GB2312"/>
        </w:rPr>
        <w:t>4、完税证明：提供投标截止时间前一年内任意一个月的纳税证明或完税证明，依法免税的单位 应提供相关证明材料，供货商需在项目电子化交易系统中按要求上传相应证明文件 并进行电子签章；</w:t>
      </w:r>
    </w:p>
    <w:p>
      <w:pPr>
        <w:pStyle w:val="null3"/>
      </w:pPr>
      <w:r>
        <w:rPr>
          <w:rFonts w:ascii="仿宋_GB2312" w:hAnsi="仿宋_GB2312" w:cs="仿宋_GB2312" w:eastAsia="仿宋_GB2312"/>
        </w:rPr>
        <w:t>5、社保缴纳凭证：提供投标截止时间前一年内任意一个月的社会保障资金缴存单据或社保机构开具 的社会保险参保缴费情况证明，依法不需要缴纳社会保障资金的单位应提供相关证 明材料，供货商需在项目电子化交易系统中按要求上传相应证明文件并进行电子签 章；</w:t>
      </w:r>
    </w:p>
    <w:p>
      <w:pPr>
        <w:pStyle w:val="null3"/>
      </w:pPr>
      <w:r>
        <w:rPr>
          <w:rFonts w:ascii="仿宋_GB2312" w:hAnsi="仿宋_GB2312" w:cs="仿宋_GB2312" w:eastAsia="仿宋_GB2312"/>
        </w:rPr>
        <w:t>6、无重大违法记录的书面声明：参加政府采购活动前3年内，在经营活动中没有重大违法记录的书面声明，供货商 需在项目电子化交易系统中按要求上传相应证明文件并进行电子签章；</w:t>
      </w:r>
    </w:p>
    <w:p>
      <w:pPr>
        <w:pStyle w:val="null3"/>
      </w:pPr>
      <w:r>
        <w:rPr>
          <w:rFonts w:ascii="仿宋_GB2312" w:hAnsi="仿宋_GB2312" w:cs="仿宋_GB2312" w:eastAsia="仿宋_GB2312"/>
        </w:rPr>
        <w:t>7、企业信誉截图：供应商不得为“信用中国”网站（www.creditchina.gov.cn）中列入失信被执行人或税收违法黑名单的供应商，不得为中国政府采购网（www.ccgp.gov.cn）政府采购严重违法失信行为记录名单中被财政部门禁止参加政府采购活动的供应商，供货商需在项目电子化交易系统中按要求上传相应证明文件并进行电子签章；</w:t>
      </w:r>
    </w:p>
    <w:p>
      <w:pPr>
        <w:pStyle w:val="null3"/>
      </w:pPr>
      <w:r>
        <w:rPr>
          <w:rFonts w:ascii="仿宋_GB2312" w:hAnsi="仿宋_GB2312" w:cs="仿宋_GB2312" w:eastAsia="仿宋_GB2312"/>
        </w:rPr>
        <w:t>8、具有履行本合同所必需的设备和专业技术能力：提供具有履行本合同所必需的设备和专业技术能力的声明。供货商需在项目电子化交易系统中按要求上传相应证明文件并进行电子签章；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铜川市印台区水旱灾害防御中心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铜川市印台区重兴北路122号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杨高健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0919-2683508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陕西省中投招标有限责任公司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陕西省西安市莲湖区陕西省西安市莲湖区环城西路北段360号天朗时代大酒店A座六层东区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13991227376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铜川市印台区水旱灾害防御中心</w:t>
      </w:r>
      <w:r>
        <w:rPr>
          <w:rFonts w:ascii="仿宋_GB2312" w:hAnsi="仿宋_GB2312" w:cs="仿宋_GB2312" w:eastAsia="仿宋_GB2312"/>
        </w:rPr>
        <w:t>和</w:t>
      </w:r>
      <w:r>
        <w:rPr>
          <w:rFonts w:ascii="仿宋_GB2312" w:hAnsi="仿宋_GB2312" w:cs="仿宋_GB2312" w:eastAsia="仿宋_GB2312"/>
        </w:rPr>
        <w:t>陕西省中投招标有限责任公司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铜川市印台区水旱灾害防御中心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陕西省中投招标有限责任公司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铜川市印台区水旱灾害防御中心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陕西省中投招标有限责任公司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严格按照招标文件及采购人要求参数进行验收，同时满足国家、行业相关标推及规范、规定要求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联系人：杜艳艳</w:t>
      </w:r>
    </w:p>
    <w:p>
      <w:pPr>
        <w:pStyle w:val="null3"/>
      </w:pPr>
      <w:r>
        <w:rPr>
          <w:rFonts w:ascii="仿宋_GB2312" w:hAnsi="仿宋_GB2312" w:cs="仿宋_GB2312" w:eastAsia="仿宋_GB2312"/>
        </w:rPr>
        <w:t>联系电话：13991227376</w:t>
      </w:r>
    </w:p>
    <w:p>
      <w:pPr>
        <w:pStyle w:val="null3"/>
      </w:pPr>
      <w:r>
        <w:rPr>
          <w:rFonts w:ascii="仿宋_GB2312" w:hAnsi="仿宋_GB2312" w:cs="仿宋_GB2312" w:eastAsia="仿宋_GB2312"/>
        </w:rPr>
        <w:t>地址：陕西省西安市莲湖区玉祥门恒和智系产业园3号楼703-2</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采购防汛物资一批。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救生衣</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6,800.00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雨伞</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9,400.00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雨衣</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11,200.00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船外机马达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冲锋舟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雨鞋</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23,600.00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对讲机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救生圈</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手电</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手摇报警器</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8,300.00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防汛应急包</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14,900.00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手提式探照灯</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26,700.00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彩条布</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11,500.00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防汛工作服</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工具箱</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13,900.00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反光定制马甲</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喊话器</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13,400.00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手套</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1,140.00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便携式发电机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18,460.00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编织袋</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帐篷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23,550.00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电缆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14,310.00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柴油吸水泵</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32,500.00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铜锣</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2,640.00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颜色： 橙红色 ；</w:t>
            </w:r>
            <w:r>
              <w:rPr>
                <w:rFonts w:ascii="仿宋_GB2312" w:hAnsi="仿宋_GB2312" w:cs="仿宋_GB2312" w:eastAsia="仿宋_GB2312"/>
                <w:sz w:val="21"/>
                <w:b/>
              </w:rPr>
              <w:t>浮力 ≥74N ；</w:t>
            </w:r>
            <w:r>
              <w:rPr>
                <w:rFonts w:ascii="仿宋_GB2312" w:hAnsi="仿宋_GB2312" w:cs="仿宋_GB2312" w:eastAsia="仿宋_GB2312"/>
                <w:sz w:val="21"/>
                <w:b/>
              </w:rPr>
              <w:t>哨笛 1只（</w:t>
            </w:r>
            <w:r>
              <w:rPr>
                <w:rFonts w:ascii="仿宋_GB2312" w:hAnsi="仿宋_GB2312" w:cs="仿宋_GB2312" w:eastAsia="仿宋_GB2312"/>
                <w:sz w:val="21"/>
                <w:b/>
              </w:rPr>
              <w:t>用不松脱的死结捆扎）</w:t>
            </w:r>
          </w:p>
          <w:p>
            <w:pPr>
              <w:pStyle w:val="null3"/>
              <w:spacing w:after="165"/>
              <w:jc w:val="both"/>
            </w:pPr>
            <w:r>
              <w:rPr>
                <w:rFonts w:ascii="仿宋_GB2312" w:hAnsi="仿宋_GB2312" w:cs="仿宋_GB2312" w:eastAsia="仿宋_GB2312"/>
                <w:sz w:val="21"/>
                <w:b/>
              </w:rPr>
              <w:t>逆向反光片 ≥200cm</w:t>
            </w:r>
            <w:r>
              <w:rPr>
                <w:rFonts w:ascii="仿宋_GB2312" w:hAnsi="仿宋_GB2312" w:cs="仿宋_GB2312" w:eastAsia="仿宋_GB2312"/>
                <w:sz w:val="21"/>
                <w:b/>
                <w:vertAlign w:val="superscript"/>
              </w:rPr>
              <w:t>2</w:t>
            </w:r>
            <w:r>
              <w:rPr>
                <w:rFonts w:ascii="仿宋_GB2312" w:hAnsi="仿宋_GB2312" w:cs="仿宋_GB2312" w:eastAsia="仿宋_GB2312"/>
                <w:sz w:val="21"/>
                <w:b/>
              </w:rPr>
              <w:t xml:space="preserve"> ；</w:t>
            </w:r>
            <w:r>
              <w:rPr>
                <w:rFonts w:ascii="仿宋_GB2312" w:hAnsi="仿宋_GB2312" w:cs="仿宋_GB2312" w:eastAsia="仿宋_GB2312"/>
                <w:sz w:val="21"/>
                <w:b/>
              </w:rPr>
              <w:t>单件质量 ≤0.8kg</w:t>
            </w:r>
          </w:p>
          <w:p>
            <w:pPr>
              <w:pStyle w:val="null3"/>
              <w:spacing w:after="165"/>
              <w:jc w:val="both"/>
            </w:pPr>
            <w:r>
              <w:rPr>
                <w:rFonts w:ascii="仿宋_GB2312" w:hAnsi="仿宋_GB2312" w:cs="仿宋_GB2312" w:eastAsia="仿宋_GB2312"/>
                <w:sz w:val="21"/>
                <w:b/>
              </w:rPr>
              <w:t>浮力材料应为闭孔型泡沫塑料。要求发泡均匀，孔径一致，无分解、开裂现象。</w:t>
            </w:r>
          </w:p>
          <w:p>
            <w:pPr>
              <w:pStyle w:val="null3"/>
              <w:spacing w:after="165"/>
              <w:jc w:val="both"/>
            </w:pPr>
            <w:r>
              <w:rPr>
                <w:rFonts w:ascii="仿宋_GB2312" w:hAnsi="仿宋_GB2312" w:cs="仿宋_GB2312" w:eastAsia="仿宋_GB2312"/>
                <w:sz w:val="21"/>
                <w:b/>
              </w:rPr>
              <w:t>缝线应为耐油、耐海水的机缝线，其断裂强度不小于19.6N。</w:t>
            </w:r>
          </w:p>
          <w:p>
            <w:pPr>
              <w:pStyle w:val="null3"/>
              <w:spacing w:after="165"/>
              <w:jc w:val="both"/>
            </w:pPr>
            <w:r>
              <w:rPr>
                <w:rFonts w:ascii="仿宋_GB2312" w:hAnsi="仿宋_GB2312" w:cs="仿宋_GB2312" w:eastAsia="仿宋_GB2312"/>
                <w:sz w:val="21"/>
                <w:b/>
              </w:rPr>
              <w:t>缚带应为柔软的编织带，或用与面料相同的布料缝制而成，其断裂强度不小于882N</w:t>
            </w:r>
          </w:p>
          <w:p>
            <w:pPr>
              <w:pStyle w:val="null3"/>
              <w:spacing w:after="165"/>
              <w:jc w:val="both"/>
            </w:pPr>
            <w:r>
              <w:rPr>
                <w:rFonts w:ascii="仿宋_GB2312" w:hAnsi="仿宋_GB2312" w:cs="仿宋_GB2312" w:eastAsia="仿宋_GB2312"/>
                <w:sz w:val="21"/>
                <w:b/>
              </w:rPr>
              <w:t>包布的抗拉强度(径向、纬向)≥800N/50mm，中性盐雾试验后无异常，不影响使用</w:t>
            </w:r>
          </w:p>
          <w:p>
            <w:pPr>
              <w:pStyle w:val="null3"/>
              <w:spacing w:after="165"/>
            </w:pPr>
            <w:r>
              <w:rPr>
                <w:rFonts w:ascii="仿宋_GB2312" w:hAnsi="仿宋_GB2312" w:cs="仿宋_GB2312" w:eastAsia="仿宋_GB2312"/>
                <w:sz w:val="21"/>
                <w:b/>
              </w:rPr>
              <w:t>明线距边缘不小于3mm，应均匀、紧密、牢固、无跳针、断线；机缝线密度每50mm不应少于20针，缝线端必须打回结；</w:t>
            </w:r>
          </w:p>
          <w:p>
            <w:pPr>
              <w:pStyle w:val="null3"/>
              <w:spacing w:after="165"/>
            </w:pPr>
            <w:r>
              <w:rPr>
                <w:rFonts w:ascii="仿宋_GB2312" w:hAnsi="仿宋_GB2312" w:cs="仿宋_GB2312" w:eastAsia="仿宋_GB2312"/>
                <w:sz w:val="21"/>
                <w:b/>
              </w:rPr>
              <w:t>绱缚带不应少于3趟缝线，缚带顶端烧结，无抽丝。</w:t>
            </w:r>
          </w:p>
        </w:tc>
      </w:tr>
    </w:tbl>
    <w:p>
      <w:pPr>
        <w:pStyle w:val="null3"/>
      </w:pPr>
      <w:r>
        <w:rPr>
          <w:rFonts w:ascii="仿宋_GB2312" w:hAnsi="仿宋_GB2312" w:cs="仿宋_GB2312" w:eastAsia="仿宋_GB2312"/>
        </w:rPr>
        <w:t>标的名称：雨伞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短把，材料为防水高密度伞布黑胶，伞面直径≥110cm 支撑骨架≥10骨，骨架,加</w:t>
            </w:r>
            <w:r>
              <w:rPr>
                <w:rFonts w:ascii="仿宋_GB2312" w:hAnsi="仿宋_GB2312" w:cs="仿宋_GB2312" w:eastAsia="仿宋_GB2312"/>
                <w:sz w:val="21"/>
                <w:b/>
              </w:rPr>
              <w:t>粗直杆更牢固。不印字。</w:t>
            </w:r>
          </w:p>
        </w:tc>
      </w:tr>
    </w:tbl>
    <w:p>
      <w:pPr>
        <w:pStyle w:val="null3"/>
      </w:pPr>
      <w:r>
        <w:rPr>
          <w:rFonts w:ascii="仿宋_GB2312" w:hAnsi="仿宋_GB2312" w:cs="仿宋_GB2312" w:eastAsia="仿宋_GB2312"/>
        </w:rPr>
        <w:t>标的名称：雨衣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风衣式，涤丝纺</w:t>
            </w:r>
            <w:r>
              <w:rPr>
                <w:rFonts w:ascii="仿宋_GB2312" w:hAnsi="仿宋_GB2312" w:cs="仿宋_GB2312" w:eastAsia="仿宋_GB2312"/>
                <w:sz w:val="21"/>
              </w:rPr>
              <w:t>PVC合成材质，背部带有反光条</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标的名称：船外机马达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动力后操，≥30马力，排量≥496CC，气缸数≥2，水冷，舵柄控制，转速4500-5000转/分钟，三档位调节，油箱容量≥24L</w:t>
            </w:r>
          </w:p>
        </w:tc>
      </w:tr>
    </w:tbl>
    <w:p>
      <w:pPr>
        <w:pStyle w:val="null3"/>
      </w:pPr>
      <w:r>
        <w:rPr>
          <w:rFonts w:ascii="仿宋_GB2312" w:hAnsi="仿宋_GB2312" w:cs="仿宋_GB2312" w:eastAsia="仿宋_GB2312"/>
        </w:rPr>
        <w:t>标的名称：冲锋舟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铝合金，长≥3.3米，宽≥2.0米，1.4米，后高度≥0.52米，载重≥400KG</w:t>
            </w:r>
          </w:p>
        </w:tc>
      </w:tr>
    </w:tbl>
    <w:p>
      <w:pPr>
        <w:pStyle w:val="null3"/>
      </w:pPr>
      <w:r>
        <w:rPr>
          <w:rFonts w:ascii="仿宋_GB2312" w:hAnsi="仿宋_GB2312" w:cs="仿宋_GB2312" w:eastAsia="仿宋_GB2312"/>
        </w:rPr>
        <w:t>标的名称：雨鞋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鞋底 ： 橡塑工矿底。</w:t>
            </w:r>
            <w:r>
              <w:br/>
            </w:r>
            <w:r>
              <w:rPr>
                <w:rFonts w:ascii="仿宋_GB2312" w:hAnsi="仿宋_GB2312" w:cs="仿宋_GB2312" w:eastAsia="仿宋_GB2312"/>
                <w:sz w:val="18"/>
                <w:b/>
              </w:rPr>
              <w:t xml:space="preserve"> 鞋面 ： 橡塑。</w:t>
            </w:r>
          </w:p>
        </w:tc>
      </w:tr>
    </w:tbl>
    <w:p>
      <w:pPr>
        <w:pStyle w:val="null3"/>
      </w:pPr>
      <w:r>
        <w:rPr>
          <w:rFonts w:ascii="仿宋_GB2312" w:hAnsi="仿宋_GB2312" w:cs="仿宋_GB2312" w:eastAsia="仿宋_GB2312"/>
        </w:rPr>
        <w:t>标的名称：对讲机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全网插卡式，大容量抗摔，频率范围≥800</w:t>
            </w:r>
          </w:p>
          <w:p>
            <w:pPr>
              <w:pStyle w:val="null3"/>
            </w:pPr>
            <w:r>
              <w:rPr>
                <w:rFonts w:ascii="仿宋_GB2312" w:hAnsi="仿宋_GB2312" w:cs="仿宋_GB2312" w:eastAsia="仿宋_GB2312"/>
                <w:sz w:val="21"/>
                <w:b/>
              </w:rPr>
              <w:t>通讯距离：5000-10000m。</w:t>
            </w:r>
          </w:p>
        </w:tc>
      </w:tr>
    </w:tbl>
    <w:p>
      <w:pPr>
        <w:pStyle w:val="null3"/>
      </w:pPr>
      <w:r>
        <w:rPr>
          <w:rFonts w:ascii="仿宋_GB2312" w:hAnsi="仿宋_GB2312" w:cs="仿宋_GB2312" w:eastAsia="仿宋_GB2312"/>
        </w:rPr>
        <w:t>标的名称：救生圈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材质：外壳高密度聚乙烯塑料，内部填充：硬质聚氨酯无孔泡沫，尺寸：外径≥710mm，内径≥440mm，厚度≥105mm。产品带ccs船级社认证证书，产品性能符合GB4302-2008的要求。</w:t>
            </w:r>
          </w:p>
        </w:tc>
      </w:tr>
    </w:tbl>
    <w:p>
      <w:pPr>
        <w:pStyle w:val="null3"/>
      </w:pPr>
      <w:r>
        <w:rPr>
          <w:rFonts w:ascii="仿宋_GB2312" w:hAnsi="仿宋_GB2312" w:cs="仿宋_GB2312" w:eastAsia="仿宋_GB2312"/>
        </w:rPr>
        <w:t>标的名称：手电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防水性:IP-x8，防水防爆驱动:2*26650，工作时间:强光≥6h续航≥12h，射程:≥1000m，档位:强、中、弱、爆闪、SOS</w:t>
            </w:r>
            <w:r>
              <w:rPr>
                <w:rFonts w:ascii="仿宋_GB2312" w:hAnsi="仿宋_GB2312" w:cs="仿宋_GB2312" w:eastAsia="仿宋_GB2312"/>
                <w:sz w:val="21"/>
                <w:b/>
                <w:color w:val="000000"/>
              </w:rPr>
              <w:t>。</w:t>
            </w:r>
          </w:p>
          <w:p>
            <w:pPr>
              <w:pStyle w:val="null3"/>
              <w:jc w:val="both"/>
            </w:pPr>
          </w:p>
        </w:tc>
      </w:tr>
    </w:tbl>
    <w:p>
      <w:pPr>
        <w:pStyle w:val="null3"/>
      </w:pPr>
      <w:r>
        <w:rPr>
          <w:rFonts w:ascii="仿宋_GB2312" w:hAnsi="仿宋_GB2312" w:cs="仿宋_GB2312" w:eastAsia="仿宋_GB2312"/>
        </w:rPr>
        <w:t>标的名称：手摇报警器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音响频率：≥550Hz，有效范围：直径≥1000m，材质：铝合金，净重：≥1.0kg，声压级：110±2dB</w:t>
            </w:r>
          </w:p>
        </w:tc>
      </w:tr>
    </w:tbl>
    <w:p>
      <w:pPr>
        <w:pStyle w:val="null3"/>
      </w:pPr>
      <w:r>
        <w:rPr>
          <w:rFonts w:ascii="仿宋_GB2312" w:hAnsi="仿宋_GB2312" w:cs="仿宋_GB2312" w:eastAsia="仿宋_GB2312"/>
        </w:rPr>
        <w:t>标的名称：防汛应急包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配置雨衣，雨鞋，手电筒，雨伞，医疗包，救援绳，军工铲等物品。</w:t>
            </w:r>
          </w:p>
        </w:tc>
      </w:tr>
    </w:tbl>
    <w:p>
      <w:pPr>
        <w:pStyle w:val="null3"/>
      </w:pPr>
      <w:r>
        <w:rPr>
          <w:rFonts w:ascii="仿宋_GB2312" w:hAnsi="仿宋_GB2312" w:cs="仿宋_GB2312" w:eastAsia="仿宋_GB2312"/>
        </w:rPr>
        <w:t>标的名称：手提式探照灯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远射探照灯内置5x18650组模锂电，续航≥10小时。高亮MTG2灯珠，射程:≥1500米。</w:t>
            </w:r>
          </w:p>
        </w:tc>
      </w:tr>
    </w:tbl>
    <w:p>
      <w:pPr>
        <w:pStyle w:val="null3"/>
      </w:pPr>
      <w:r>
        <w:rPr>
          <w:rFonts w:ascii="仿宋_GB2312" w:hAnsi="仿宋_GB2312" w:cs="仿宋_GB2312" w:eastAsia="仿宋_GB2312"/>
        </w:rPr>
        <w:t>标的名称：彩条布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防水，耐用；尺寸：≥6*30米</w:t>
            </w:r>
          </w:p>
        </w:tc>
      </w:tr>
    </w:tbl>
    <w:p>
      <w:pPr>
        <w:pStyle w:val="null3"/>
      </w:pPr>
      <w:r>
        <w:rPr>
          <w:rFonts w:ascii="仿宋_GB2312" w:hAnsi="仿宋_GB2312" w:cs="仿宋_GB2312" w:eastAsia="仿宋_GB2312"/>
        </w:rPr>
        <w:t>标的名称：防汛工作服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面料：涤棉迷彩。针距密度、明暗线(针/cm)10~14，锁眼(针/cm)≥12，订扣(根/孔)≥8。甲醛含量(mgkg)&lt;75；PH值5.0~7.5；耐水色牢度(级)变色≥3级、沾色≥3级；耐干摩擦色牢度≥3级；可直接接触皮肤，对人体无害。</w:t>
            </w:r>
          </w:p>
        </w:tc>
      </w:tr>
    </w:tbl>
    <w:p>
      <w:pPr>
        <w:pStyle w:val="null3"/>
      </w:pPr>
      <w:r>
        <w:rPr>
          <w:rFonts w:ascii="仿宋_GB2312" w:hAnsi="仿宋_GB2312" w:cs="仿宋_GB2312" w:eastAsia="仿宋_GB2312"/>
        </w:rPr>
        <w:t>标的名称：工具箱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包含常用工具。翻盖式，ABS材质防水，抗震。</w:t>
            </w:r>
          </w:p>
        </w:tc>
      </w:tr>
    </w:tbl>
    <w:p>
      <w:pPr>
        <w:pStyle w:val="null3"/>
      </w:pPr>
      <w:r>
        <w:rPr>
          <w:rFonts w:ascii="仿宋_GB2312" w:hAnsi="仿宋_GB2312" w:cs="仿宋_GB2312" w:eastAsia="仿宋_GB2312"/>
        </w:rPr>
        <w:t>标的名称：反光定制马甲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渔网口袋反光款</w:t>
            </w:r>
          </w:p>
        </w:tc>
      </w:tr>
    </w:tbl>
    <w:p>
      <w:pPr>
        <w:pStyle w:val="null3"/>
      </w:pPr>
      <w:r>
        <w:rPr>
          <w:rFonts w:ascii="仿宋_GB2312" w:hAnsi="仿宋_GB2312" w:cs="仿宋_GB2312" w:eastAsia="仿宋_GB2312"/>
        </w:rPr>
        <w:t>标的名称：喊话器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功率≥35W，有效距离≥800米，长续航：锂电池≥2000MA，带蓝牙，可插U盘。</w:t>
            </w:r>
          </w:p>
        </w:tc>
      </w:tr>
    </w:tbl>
    <w:p>
      <w:pPr>
        <w:pStyle w:val="null3"/>
      </w:pPr>
      <w:r>
        <w:rPr>
          <w:rFonts w:ascii="仿宋_GB2312" w:hAnsi="仿宋_GB2312" w:cs="仿宋_GB2312" w:eastAsia="仿宋_GB2312"/>
        </w:rPr>
        <w:t>标的名称：手套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防水、分指加厚针织款，耐磨、防滑、皱纹乳胶，防割性好，透气性好，防撕裂。</w:t>
            </w:r>
          </w:p>
        </w:tc>
      </w:tr>
    </w:tbl>
    <w:p>
      <w:pPr>
        <w:pStyle w:val="null3"/>
      </w:pPr>
      <w:r>
        <w:rPr>
          <w:rFonts w:ascii="仿宋_GB2312" w:hAnsi="仿宋_GB2312" w:cs="仿宋_GB2312" w:eastAsia="仿宋_GB2312"/>
        </w:rPr>
        <w:t>标的名称：便携式发电机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机组类型：数码变频发电机。排量：≥245CC。点火方式：CDI。额定功率(KW)：5.5。启动方式：手启动。</w:t>
            </w:r>
          </w:p>
        </w:tc>
      </w:tr>
    </w:tbl>
    <w:p>
      <w:pPr>
        <w:pStyle w:val="null3"/>
      </w:pPr>
      <w:r>
        <w:rPr>
          <w:rFonts w:ascii="仿宋_GB2312" w:hAnsi="仿宋_GB2312" w:cs="仿宋_GB2312" w:eastAsia="仿宋_GB2312"/>
        </w:rPr>
        <w:t>标的名称：编织袋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炭黑防晒抗老化，抽绳束口。尺寸：≥45*77cm。</w:t>
            </w:r>
          </w:p>
        </w:tc>
      </w:tr>
    </w:tbl>
    <w:p>
      <w:pPr>
        <w:pStyle w:val="null3"/>
      </w:pPr>
      <w:r>
        <w:rPr>
          <w:rFonts w:ascii="仿宋_GB2312" w:hAnsi="仿宋_GB2312" w:cs="仿宋_GB2312" w:eastAsia="仿宋_GB2312"/>
        </w:rPr>
        <w:t>标的名称：帐篷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救灾专用，尺寸≥12㎡。篷体材料：单面涂覆PVC防水阻燃涂层布；框架：焊接钢管。</w:t>
            </w:r>
          </w:p>
        </w:tc>
      </w:tr>
    </w:tbl>
    <w:p>
      <w:pPr>
        <w:pStyle w:val="null3"/>
      </w:pPr>
      <w:r>
        <w:rPr>
          <w:rFonts w:ascii="仿宋_GB2312" w:hAnsi="仿宋_GB2312" w:cs="仿宋_GB2312" w:eastAsia="仿宋_GB2312"/>
        </w:rPr>
        <w:t>标的名称：电缆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规格</w:t>
            </w:r>
            <w:r>
              <w:rPr>
                <w:rFonts w:ascii="仿宋_GB2312" w:hAnsi="仿宋_GB2312" w:cs="仿宋_GB2312" w:eastAsia="仿宋_GB2312"/>
                <w:sz w:val="21"/>
                <w:b/>
              </w:rPr>
              <w:t>4</w:t>
            </w:r>
            <w:r>
              <w:rPr>
                <w:rFonts w:ascii="仿宋_GB2312" w:hAnsi="仿宋_GB2312" w:cs="仿宋_GB2312" w:eastAsia="仿宋_GB2312"/>
                <w:sz w:val="21"/>
                <w:b/>
              </w:rPr>
              <w:t>*10平</w:t>
            </w:r>
            <w:r>
              <w:rPr>
                <w:rFonts w:ascii="仿宋_GB2312" w:hAnsi="仿宋_GB2312" w:cs="仿宋_GB2312" w:eastAsia="仿宋_GB2312"/>
                <w:sz w:val="21"/>
                <w:b/>
              </w:rPr>
              <w:t>米</w:t>
            </w:r>
            <w:r>
              <w:rPr>
                <w:rFonts w:ascii="仿宋_GB2312" w:hAnsi="仿宋_GB2312" w:cs="仿宋_GB2312" w:eastAsia="仿宋_GB2312"/>
                <w:sz w:val="21"/>
                <w:b/>
              </w:rPr>
              <w:t>，</w:t>
            </w:r>
            <w:r>
              <w:rPr>
                <w:rFonts w:ascii="仿宋_GB2312" w:hAnsi="仿宋_GB2312" w:cs="仿宋_GB2312" w:eastAsia="仿宋_GB2312"/>
                <w:sz w:val="21"/>
                <w:b/>
              </w:rPr>
              <w:t>99.99%高纯度无氧铜，每捆不</w:t>
            </w:r>
            <w:r>
              <w:rPr>
                <w:rFonts w:ascii="仿宋_GB2312" w:hAnsi="仿宋_GB2312" w:cs="仿宋_GB2312" w:eastAsia="仿宋_GB2312"/>
                <w:sz w:val="21"/>
                <w:b/>
              </w:rPr>
              <w:t>少于100米</w:t>
            </w:r>
            <w:r>
              <w:rPr>
                <w:rFonts w:ascii="仿宋_GB2312" w:hAnsi="仿宋_GB2312" w:cs="仿宋_GB2312" w:eastAsia="仿宋_GB2312"/>
                <w:sz w:val="21"/>
                <w:b/>
              </w:rPr>
              <w:t>。</w:t>
            </w:r>
            <w:r>
              <w:rPr>
                <w:rFonts w:ascii="仿宋_GB2312" w:hAnsi="仿宋_GB2312" w:cs="仿宋_GB2312" w:eastAsia="仿宋_GB2312"/>
                <w:sz w:val="21"/>
                <w:b/>
              </w:rPr>
              <w:t>4芯。</w:t>
            </w:r>
          </w:p>
        </w:tc>
      </w:tr>
    </w:tbl>
    <w:p>
      <w:pPr>
        <w:pStyle w:val="null3"/>
      </w:pPr>
      <w:r>
        <w:rPr>
          <w:rFonts w:ascii="仿宋_GB2312" w:hAnsi="仿宋_GB2312" w:cs="仿宋_GB2312" w:eastAsia="仿宋_GB2312"/>
        </w:rPr>
        <w:t>标的名称：柴油吸水泵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4寸水泵，电启动柴油手压泵，配备不少于10米吸水管，1卷出水管。</w:t>
            </w:r>
          </w:p>
        </w:tc>
      </w:tr>
    </w:tbl>
    <w:p>
      <w:pPr>
        <w:pStyle w:val="null3"/>
      </w:pPr>
      <w:r>
        <w:rPr>
          <w:rFonts w:ascii="仿宋_GB2312" w:hAnsi="仿宋_GB2312" w:cs="仿宋_GB2312" w:eastAsia="仿宋_GB2312"/>
        </w:rPr>
        <w:t>标的名称：铜锣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材质：合金钢；直径：32CM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物资验收合格后一次性支付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符合防汛物资要求，符合《中华人民共和国民法典》以及其他相关法律、法规。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船外机马达、冲锋舟、对讲机、便携式发电机两年内，其他物资1年内产品出现质量问题，供应商需进行维修或更换，并承担配件包装和运输费用。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 行。未按合同或招标文件要求提供服务 质量不能满足采购人技术要求，采购单位有权终止合同，甚至对供应商违约行为进行 追究。 未按合同或招标文件要求提供服 务质量不能满足采购人技术要求，采购单位有权终止合同，甚至对供应商违约行为进 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纸质版投标文件一律采用书籍（胶装）方式装订。投标文件正本一份，副本二份，电子文件 Word 版本（全套投标文件，U 盘）一份。纸质投标文件均需使用 A4 纸，分别各自装订成册。投标文件正本、副本、电子版统一密封在一个标袋内。 递交方式：开标后中标单位将纸质标书送至陕西省西安市莲湖区玉祥门恒和智系产业园3号楼703-2。 注：本次招标采用线上招标方式，纸质投标文件按招标文件要求递交（若是投标人的电子标无法打开，视为无效投标文件，不再参与评审。纸质文件不作为评审依据）请各投标人严格按照规定的电子标准格式编制投标文件，并确保以标准格式上传，否则不能参 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提供2023年度或2024年度经审计的财务报告（成立时间至提交投标响 应文件截止时间不足一年的可提供成立后任意时段的资产 负债表），或投标截止日期前6个月内银行出具的资信证明 ；供应商需在项目电子化交易系统中按要求上传相应证明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1)根据供应商类别进行提供： ①如供应商是企业（包括合伙企业），应提供在工 商部门注册的有效“企业法人营业执照”或“营业执照”； ②如供应商是事业单位， 应提供有效的“事业单位法人证书”； ③如供应商是为企业专业服务机构的，应提 供执业许可证等证明文件； ④如供应商是个体工商户，应提供有效的“个体工商户 营业执照”； ⑤如供应商为自然人，应提供有效的自然人身份证明。 供货商需在项 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 授权人身 份证原件。（法定代表人参加投标只须提供法定代表人身份证明书及身 份证原件），供货商需在项目电子化交易系统中按要求上传相应证明文件并进行电 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提供2023年度或2024年度经审计的财务报告（成立时间至提交投标响 应文件截止时间不足一年的可提供成立后任意时段的资产 负债表），或投标截止日期前6个月内银行出具的资信证明 ；供应商需在项目电子化交易系统中按要求上传相应证明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提供投标截止时间前一年内任意一个月的纳税证明或完税证明，依法免税的单位 应提供相关证明材料，供货商需在项目电子化交易系统中按要求上传相应证明文件 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提供投标截止时间前一年内任意一个月的社会保障资金缴存单据或社保机构开具 的社会保险参保缴费情况证明，依法不需要缴纳社会保障资金的单位应提供相关证 明材料，供货商需在项目电子化交易系统中按要求上传相应证明文件并进行电子签 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参加政府采购活动前3年内，在经营活动中没有重大违法记录的书面声明，供货商 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或税收违法黑名单的供应商，不得为中国政府采购网（www.ccgp.gov.cn）政府采购严重违法失信行为记录名单中被财政部门禁止参加政府采购活动的供应商，供货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提供具有履行本合同所必需的设备和专业技术能力的声明。供货商需在项目电子化交易系统中按要求上传相应证明文件并进行电子签章；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投标文件有效期、签章、语言和计量单位</w:t>
            </w:r>
          </w:p>
        </w:tc>
        <w:tc>
          <w:tcPr>
            <w:tcW w:type="dxa" w:w="3322"/>
          </w:tcPr>
          <w:p>
            <w:pPr>
              <w:pStyle w:val="null3"/>
            </w:pPr>
            <w:r>
              <w:rPr>
                <w:rFonts w:ascii="仿宋_GB2312" w:hAnsi="仿宋_GB2312" w:cs="仿宋_GB2312" w:eastAsia="仿宋_GB2312"/>
              </w:rPr>
              <w:t>符合招标文件要求，且无遗漏。</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投标人应如实填写“技术响应偏离表”，评标委员会参照“技术响应偏离表”进行评分。 ①投标产品技术参数完全符合/无偏离采购文件要求得5分； ②投标产品技术参数每低于/负偏离一项扣0.5分，扣完为止；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应如实填写所投产品佐证材料及供货渠道证明汇总表，并提供所投产品的主要技术指标（参数）的相应证明材料（包括但不限于产品检测报告、官网、公告和功能截图等），其他技术参数也应尽量提供证明材料，证明材料需可以支撑并且全面体现所投设备参数性能。投标人应尽可能多提供相关佐证材料。 ①每提供一个★标产品佐证材料得1分，未提供不得分，满分5分。若所提供佐证材料无法体现所投★标产品设备参数性能，扣0.5分。 ②其他产品提供全部的佐证材料文件齐全计10分，提供70%以上的计7分，提供50%以上的计5分，提供30%以上的计2分，提供30%以下的不得分。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根据投标人针对本项目制定的实施方案响应情况进行赋分，方案内容包括①项目整体目标②供货进度计划③安装运输调试方案④人员配备⑤物流保障措施； 方案各部分内容全面详细、阐述条例清晰详尽、符合本项目采购需求得15分；评审内容每缺一项扣3分；评审内容有缺陷未完全响应评审标准的扣1-2分。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投标人针对本项目提出具体的应急处理方案，方案内容包含：①突发应急预案②应急响应承诺； 方案各部分内容全面详细、阐述条理清晰详尽、符合本项目采购需求得10分；评审内容每缺一项扣5分，评审内容有缺陷未完全响应评审标准的扣1-4分。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应如实填写所投产品佐证材料及供货渠道证明汇总表，产品供应应渠道正常，无假货、水货，无不良市场反馈，检验手续合法有效、无产权纠纷。投标人提供产品渠道合法的证明文件，包括但不限于厂家授权书、系统的计算机软件著作权证书等。 ①每提供一个★标产品供货渠道证明文件得1分，未提供或提供的材料无法证明渠道来源合法正常的不得分，满分5分。 ②其他产品提供全部的供货渠道证明文件齐全计7分，提供70%以上的计5分，提供50%以上的计3分，提供30%以上的计1分，提供30%以下的不得分。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投标人针对本项目提出具体的售后服务方案，方案内容包含：①售后服务人员组织②售后服务保障措施③产品交付采购方后出现质量问题的响应时间④对所投产品的培训计划及方案⑤售后服务承诺； 方案各部分内容全面详细、阐述条理清晰详尽、符合本项目采购需求得10分；评审内容每缺一项扣2分，评审内容有缺陷未完全响应评审标准的扣0.5-1.5分。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提供2022年1月1日以来类似项目的业绩证明文件（即合同或中标通知书，以合同签订时间或中标通知书落款时间为准），评审时以投标文件中的扫描件为计分依据，每出具一份业绩证明文件得1分，满分3分。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招标文件要求且价格最低的投标报价作为评标基准价，其价格分为满分。其他供应商的价格分统一按照下列公式计算： 投标报价得分=(评标基准价／投标报价)×30 注： 1、本项目为专门面向中小企业项目，因此不再执行价格评审优惠扶持政策。 2、若投标单位的报价明显低于成本价，或报价明显无法达到服务要求，评标委员会有权要求投标单位做出报价澄清并提供相关证明，若在限定时间内无法澄清或无法出具合理的证明，经评标委员会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