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版本号：SXBH-ZFCG-2025-05520250619001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印台区西村果库配套设施建设项目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SXBH-ZFCG-2025-055</w:t>
      </w:r>
      <w:r>
        <w:br/>
      </w:r>
      <w:r>
        <w:br/>
      </w:r>
      <w:r>
        <w:br/>
      </w:r>
    </w:p>
    <w:p>
      <w:pPr>
        <w:pStyle w:val="null3"/>
        <w:jc w:val="center"/>
        <w:outlineLvl w:val="2"/>
      </w:pPr>
      <w:r>
        <w:rPr>
          <w:rFonts w:ascii="仿宋_GB2312" w:hAnsi="仿宋_GB2312" w:cs="仿宋_GB2312" w:eastAsia="仿宋_GB2312"/>
          <w:sz w:val="28"/>
          <w:b/>
        </w:rPr>
        <w:t>铜川市印台区果业发展中心</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铜川市印台区果业发展中心</w:t>
      </w:r>
      <w:r>
        <w:rPr>
          <w:rFonts w:ascii="仿宋_GB2312" w:hAnsi="仿宋_GB2312" w:cs="仿宋_GB2312" w:eastAsia="仿宋_GB2312"/>
        </w:rPr>
        <w:t>委托，拟对</w:t>
      </w:r>
      <w:r>
        <w:rPr>
          <w:rFonts w:ascii="仿宋_GB2312" w:hAnsi="仿宋_GB2312" w:cs="仿宋_GB2312" w:eastAsia="仿宋_GB2312"/>
        </w:rPr>
        <w:t>印台区西村果库配套设施建设项目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印台区西村果库配套设施建设项目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印台区西村果库配套设施建设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采购包1（印台区西村果库配套设施建设项目）：属于专门面向小微企业采购。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健全的财务会计制度：提供近两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供应商需在项目电子化交易系统中按要求上传相应证明文件并进行电子签章。</w:t>
      </w:r>
    </w:p>
    <w:p>
      <w:pPr>
        <w:pStyle w:val="null3"/>
      </w:pPr>
      <w:r>
        <w:rPr>
          <w:rFonts w:ascii="仿宋_GB2312" w:hAnsi="仿宋_GB2312" w:cs="仿宋_GB2312" w:eastAsia="仿宋_GB2312"/>
        </w:rPr>
        <w:t>3、具有良好的商业信誉：投标人不得为“信用中国(http://www.creditchina.gov.cn)”信息公示中列入重大税收违法失信主体名单、严重失信主体名单及专项查询中政府采购严重违法失信行为记录名单查询的投标人；不得在“中国执行信息公开网（https://zxgk.court.gov.cn/）”被列为失信被执行人；不得在“国家企业信用信息公示系统”（http://www.gsxt.gov.cn/index.html）行政处罚信息、经营异常名录信息及严重违法失信名单；不得为“中国政府采购网(http://www.ccgp.gov.cn)”政府采购严重违法失信行为记录名单中被财政部门禁止参加政府采购活动的投标人；（以上提供网页查询打印预览截图，查询时间为各投标人领取文件之日至递交投标文件截止之日期间有效，截图页面背景须体现清晰可见的查询日期）。供应商需在项目电子化交易系统中按要求上传相应证明文件并进行电子签章。</w:t>
      </w:r>
    </w:p>
    <w:p>
      <w:pPr>
        <w:pStyle w:val="null3"/>
      </w:pPr>
      <w:r>
        <w:rPr>
          <w:rFonts w:ascii="仿宋_GB2312" w:hAnsi="仿宋_GB2312" w:cs="仿宋_GB2312" w:eastAsia="仿宋_GB2312"/>
        </w:rPr>
        <w:t>4、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社会保障资金的良好记录：提供投标截止日前近一年内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6、具有履行合同所必需的设备和专业技术能力；：提供具有履行合同所必需的设备和专业技术能力的书面声明;供应商需在项目电子化交易系统中按要求上传相应证明文件并进行电子签章。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参加政府采购活动前三年内，在经营活动中没有重大违法记录或被起诉：参加政府采购活动前三年内，在经营活动中没有重大违法记录或被起诉的书面声明;供应商需在项目电子化交易系统中按要求上传相应证明文件并进行电子签章。</w:t>
      </w:r>
    </w:p>
    <w:p>
      <w:pPr>
        <w:pStyle w:val="null3"/>
      </w:pPr>
      <w:r>
        <w:rPr>
          <w:rFonts w:ascii="仿宋_GB2312" w:hAnsi="仿宋_GB2312" w:cs="仿宋_GB2312" w:eastAsia="仿宋_GB2312"/>
        </w:rPr>
        <w:t>8、法定代表人证明书或法定代表人授权书：法定代表人（负责人）直接参加投标的，须出具法定代表人（负责人）身份证明及身份证复印件，并与营业执照上信息一致；法定代表人授权代表参加投标的，须出具法定代表人授权书及授权代表身份证复印件;供应商需在项目电子化交易系统中按要求上传相应证明文件并进行电子签章。</w:t>
      </w:r>
    </w:p>
    <w:p>
      <w:pPr>
        <w:pStyle w:val="null3"/>
      </w:pPr>
      <w:r>
        <w:rPr>
          <w:rFonts w:ascii="仿宋_GB2312" w:hAnsi="仿宋_GB2312" w:cs="仿宋_GB2312" w:eastAsia="仿宋_GB2312"/>
        </w:rPr>
        <w:t>9、本项目不接受联合体投标：非联合体投标承诺书;供应商需在项目电子化交易系统中按要求上传相应证明文件并进行电子签章。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铜川市印台区果业发展中心经办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0919-2688031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陕西省铜川市印台区城关街道办事处南苑社区惠民佳苑8号楼2楼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采购包1：479,500.00元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铜川市印台区果业发展中心</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铜川市印台区果业发展中心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联系人：刘瑞华</w:t>
      </w:r>
    </w:p>
    <w:p>
      <w:pPr>
        <w:pStyle w:val="null3"/>
      </w:pPr>
      <w:r>
        <w:rPr>
          <w:rFonts w:ascii="仿宋_GB2312" w:hAnsi="仿宋_GB2312" w:cs="仿宋_GB2312" w:eastAsia="仿宋_GB2312"/>
        </w:rPr>
        <w:t>联系电话：17691172318</w:t>
      </w:r>
    </w:p>
    <w:p>
      <w:pPr>
        <w:pStyle w:val="null3"/>
      </w:pPr>
      <w:r>
        <w:rPr>
          <w:rFonts w:ascii="仿宋_GB2312" w:hAnsi="仿宋_GB2312" w:cs="仿宋_GB2312" w:eastAsia="仿宋_GB2312"/>
        </w:rPr>
        <w:t>地址：铜川市印台区惠民佳苑8号楼2楼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印台区西村果库配套设施建设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479,500.00</w:t>
      </w:r>
    </w:p>
    <w:p>
      <w:pPr>
        <w:pStyle w:val="null3"/>
      </w:pPr>
      <w:r>
        <w:rPr>
          <w:rFonts w:ascii="仿宋_GB2312" w:hAnsi="仿宋_GB2312" w:cs="仿宋_GB2312" w:eastAsia="仿宋_GB2312"/>
        </w:rPr>
        <w:t>采购包最高限价（元）: 479,500.00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电动液压托盘车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果库仓储铁框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264,000.00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铁架</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地磅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叉车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周转框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11,500.00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成品生产资料用房</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52,000.00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标的名称：电动液压托盘车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额定负载</w:t>
            </w:r>
            <w:r>
              <w:rPr>
                <w:rFonts w:ascii="仿宋_GB2312" w:hAnsi="仿宋_GB2312" w:cs="仿宋_GB2312" w:eastAsia="仿宋_GB2312"/>
                <w:sz w:val="22"/>
                <w:color w:val="000000"/>
              </w:rPr>
              <w:t>2000kg以上，起升高度85mm-200mm。</w:t>
            </w:r>
          </w:p>
        </w:tc>
      </w:tr>
    </w:tbl>
    <w:p>
      <w:pPr>
        <w:pStyle w:val="null3"/>
      </w:pPr>
      <w:r>
        <w:rPr>
          <w:rFonts w:ascii="仿宋_GB2312" w:hAnsi="仿宋_GB2312" w:cs="仿宋_GB2312" w:eastAsia="仿宋_GB2312"/>
        </w:rPr>
        <w:t>标的名称：果库仓储铁框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材质：冷轧钢；</w:t>
            </w:r>
            <w:r>
              <w:br/>
            </w:r>
            <w:r>
              <w:rPr>
                <w:rFonts w:ascii="仿宋_GB2312" w:hAnsi="仿宋_GB2312" w:cs="仿宋_GB2312" w:eastAsia="仿宋_GB2312"/>
                <w:sz w:val="22"/>
                <w:color w:val="000000"/>
              </w:rPr>
              <w:t>规格：额定载重</w:t>
            </w:r>
            <w:r>
              <w:rPr>
                <w:rFonts w:ascii="仿宋_GB2312" w:hAnsi="仿宋_GB2312" w:cs="仿宋_GB2312" w:eastAsia="仿宋_GB2312"/>
                <w:sz w:val="22"/>
                <w:color w:val="000000"/>
              </w:rPr>
              <w:t>≥200kg 附带围板（材质： PP）  其他参数参照常规果库铁框。</w:t>
            </w:r>
          </w:p>
        </w:tc>
      </w:tr>
    </w:tbl>
    <w:p>
      <w:pPr>
        <w:pStyle w:val="null3"/>
      </w:pPr>
      <w:r>
        <w:rPr>
          <w:rFonts w:ascii="仿宋_GB2312" w:hAnsi="仿宋_GB2312" w:cs="仿宋_GB2312" w:eastAsia="仿宋_GB2312"/>
        </w:rPr>
        <w:t>标的名称：铁架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材质：冷轧钢；</w:t>
            </w:r>
            <w:r>
              <w:br/>
            </w:r>
            <w:r>
              <w:rPr>
                <w:rFonts w:ascii="仿宋_GB2312" w:hAnsi="仿宋_GB2312" w:cs="仿宋_GB2312" w:eastAsia="仿宋_GB2312"/>
                <w:sz w:val="22"/>
                <w:color w:val="000000"/>
              </w:rPr>
              <w:t>规格：载重大于</w:t>
            </w:r>
            <w:r>
              <w:rPr>
                <w:rFonts w:ascii="仿宋_GB2312" w:hAnsi="仿宋_GB2312" w:cs="仿宋_GB2312" w:eastAsia="仿宋_GB2312"/>
                <w:sz w:val="22"/>
                <w:color w:val="000000"/>
              </w:rPr>
              <w:t>≥150kg, 其他参数参照常规果库铁架。</w:t>
            </w:r>
          </w:p>
        </w:tc>
      </w:tr>
    </w:tbl>
    <w:p>
      <w:pPr>
        <w:pStyle w:val="null3"/>
      </w:pPr>
      <w:r>
        <w:rPr>
          <w:rFonts w:ascii="仿宋_GB2312" w:hAnsi="仿宋_GB2312" w:cs="仿宋_GB2312" w:eastAsia="仿宋_GB2312"/>
        </w:rPr>
        <w:t>标的名称：地磅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最大称重量：</w:t>
            </w:r>
            <w:r>
              <w:rPr>
                <w:rFonts w:ascii="仿宋_GB2312" w:hAnsi="仿宋_GB2312" w:cs="仿宋_GB2312" w:eastAsia="仿宋_GB2312"/>
                <w:sz w:val="22"/>
                <w:color w:val="000000"/>
              </w:rPr>
              <w:t>10T；</w:t>
            </w:r>
            <w:r>
              <w:br/>
            </w:r>
            <w:r>
              <w:rPr>
                <w:rFonts w:ascii="仿宋_GB2312" w:hAnsi="仿宋_GB2312" w:cs="仿宋_GB2312" w:eastAsia="仿宋_GB2312"/>
                <w:sz w:val="22"/>
                <w:color w:val="000000"/>
              </w:rPr>
              <w:t>类型：地上型，附带斜坡</w:t>
            </w:r>
            <w:r>
              <w:rPr>
                <w:rFonts w:ascii="仿宋_GB2312" w:hAnsi="仿宋_GB2312" w:cs="仿宋_GB2312" w:eastAsia="仿宋_GB2312"/>
                <w:sz w:val="22"/>
                <w:color w:val="000000"/>
              </w:rPr>
              <w:t>引道</w:t>
            </w:r>
            <w:r>
              <w:rPr>
                <w:rFonts w:ascii="仿宋_GB2312" w:hAnsi="仿宋_GB2312" w:cs="仿宋_GB2312" w:eastAsia="仿宋_GB2312"/>
                <w:sz w:val="22"/>
                <w:color w:val="000000"/>
              </w:rPr>
              <w:t>（</w:t>
            </w:r>
            <w:r>
              <w:rPr>
                <w:rFonts w:ascii="仿宋_GB2312" w:hAnsi="仿宋_GB2312" w:cs="仿宋_GB2312" w:eastAsia="仿宋_GB2312"/>
                <w:sz w:val="22"/>
                <w:color w:val="000000"/>
              </w:rPr>
              <w:t>包含运输、安装、维护等费用）。</w:t>
            </w:r>
            <w:r>
              <w:br/>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标的名称：叉车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动力：锂电池；</w:t>
            </w:r>
            <w:r>
              <w:br/>
            </w:r>
            <w:r>
              <w:rPr>
                <w:rFonts w:ascii="仿宋_GB2312" w:hAnsi="仿宋_GB2312" w:cs="仿宋_GB2312" w:eastAsia="仿宋_GB2312"/>
                <w:sz w:val="22"/>
                <w:color w:val="000000"/>
              </w:rPr>
              <w:t>额定起重量：</w:t>
            </w:r>
            <w:r>
              <w:rPr>
                <w:rFonts w:ascii="仿宋_GB2312" w:hAnsi="仿宋_GB2312" w:cs="仿宋_GB2312" w:eastAsia="仿宋_GB2312"/>
                <w:sz w:val="22"/>
                <w:color w:val="000000"/>
              </w:rPr>
              <w:t>≥2000kg；</w:t>
            </w:r>
            <w:r>
              <w:br/>
            </w:r>
            <w:r>
              <w:rPr>
                <w:rFonts w:ascii="仿宋_GB2312" w:hAnsi="仿宋_GB2312" w:cs="仿宋_GB2312" w:eastAsia="仿宋_GB2312"/>
                <w:sz w:val="22"/>
                <w:color w:val="000000"/>
              </w:rPr>
              <w:t>驾驶方式：坐驾式；</w:t>
            </w:r>
            <w:r>
              <w:br/>
            </w:r>
            <w:r>
              <w:rPr>
                <w:rFonts w:ascii="仿宋_GB2312" w:hAnsi="仿宋_GB2312" w:cs="仿宋_GB2312" w:eastAsia="仿宋_GB2312"/>
                <w:sz w:val="22"/>
                <w:color w:val="000000"/>
              </w:rPr>
              <w:t>起升高度：</w:t>
            </w:r>
            <w:r>
              <w:rPr>
                <w:rFonts w:ascii="仿宋_GB2312" w:hAnsi="仿宋_GB2312" w:cs="仿宋_GB2312" w:eastAsia="仿宋_GB2312"/>
                <w:sz w:val="22"/>
                <w:color w:val="000000"/>
              </w:rPr>
              <w:t>≥3米 起重附带左右平移。</w:t>
            </w:r>
          </w:p>
        </w:tc>
      </w:tr>
    </w:tbl>
    <w:p>
      <w:pPr>
        <w:pStyle w:val="null3"/>
      </w:pPr>
      <w:r>
        <w:rPr>
          <w:rFonts w:ascii="仿宋_GB2312" w:hAnsi="仿宋_GB2312" w:cs="仿宋_GB2312" w:eastAsia="仿宋_GB2312"/>
        </w:rPr>
        <w:t>标的名称：周转框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PE聚乙烯；</w:t>
            </w:r>
            <w:r>
              <w:br/>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≥2kg；</w:t>
            </w:r>
            <w:r>
              <w:br/>
            </w:r>
            <w:r>
              <w:rPr>
                <w:rFonts w:ascii="仿宋_GB2312" w:hAnsi="仿宋_GB2312" w:cs="仿宋_GB2312" w:eastAsia="仿宋_GB2312"/>
                <w:sz w:val="22"/>
                <w:color w:val="000000"/>
              </w:rPr>
              <w:t>规格：额定载重</w:t>
            </w:r>
            <w:r>
              <w:rPr>
                <w:rFonts w:ascii="仿宋_GB2312" w:hAnsi="仿宋_GB2312" w:cs="仿宋_GB2312" w:eastAsia="仿宋_GB2312"/>
                <w:sz w:val="22"/>
                <w:color w:val="000000"/>
              </w:rPr>
              <w:t>≥20kg。</w:t>
            </w:r>
          </w:p>
        </w:tc>
      </w:tr>
    </w:tbl>
    <w:p>
      <w:pPr>
        <w:pStyle w:val="null3"/>
      </w:pPr>
      <w:r>
        <w:rPr>
          <w:rFonts w:ascii="仿宋_GB2312" w:hAnsi="仿宋_GB2312" w:cs="仿宋_GB2312" w:eastAsia="仿宋_GB2312"/>
        </w:rPr>
        <w:t>标的名称：成品生产资料用房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规格：长</w:t>
            </w:r>
            <w:r>
              <w:rPr>
                <w:rFonts w:ascii="仿宋_GB2312" w:hAnsi="仿宋_GB2312" w:cs="仿宋_GB2312" w:eastAsia="仿宋_GB2312"/>
                <w:sz w:val="22"/>
                <w:color w:val="000000"/>
              </w:rPr>
              <w:t>10m，宽4m，组装式 附带门、窗、</w:t>
            </w:r>
            <w:r>
              <w:rPr>
                <w:rFonts w:ascii="仿宋_GB2312" w:hAnsi="仿宋_GB2312" w:cs="仿宋_GB2312" w:eastAsia="仿宋_GB2312"/>
                <w:sz w:val="22"/>
                <w:color w:val="000000"/>
              </w:rPr>
              <w:t>电路等</w:t>
            </w:r>
            <w:r>
              <w:rPr>
                <w:rFonts w:ascii="仿宋_GB2312" w:hAnsi="仿宋_GB2312" w:cs="仿宋_GB2312" w:eastAsia="仿宋_GB2312"/>
                <w:sz w:val="22"/>
                <w:color w:val="000000"/>
              </w:rPr>
              <w:t>（</w:t>
            </w:r>
            <w:r>
              <w:rPr>
                <w:rFonts w:ascii="仿宋_GB2312" w:hAnsi="仿宋_GB2312" w:cs="仿宋_GB2312" w:eastAsia="仿宋_GB2312"/>
                <w:sz w:val="22"/>
                <w:color w:val="000000"/>
              </w:rPr>
              <w:t>包含运输、安装、维护等费用）。</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签订合同生效后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全部货物供货完成，安装调试完毕并验收合格后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服务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两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近两年任意一年经会计师事务所或审计机构审计的财务审计报告（包括资产负债表、现金流量表、利润表、所有者权益变动表、附注、审计机构资质证书等全部内容，成立时间至提交响应文件截止时间不足一年的可提供成立后任意时段的资产负债表）和财务情况说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人不得为“信用中国(http://www.creditchina.gov.cn)”信息公示中列入重大税收违法失信主体名单、严重失信主体名单及专项查询中政府采购严重违法失信行为记录名单查询的投标人；不得在“中国执行信息公开网（https://zxgk.court.gov.cn/）”被列为失信被执行人；不得在“国家企业信用信息公示系统”（http://www.gsxt.gov.cn/index.html）行政处罚信息、经营异常名录信息及严重违法失信名单；不得为“中国政府采购网(http://www.ccgp.gov.cn)”政府采购严重违法失信行为记录名单中被财政部门禁止参加政府采购活动的投标人；（以上提供网页查询打印预览截图，查询时间为各投标人领取文件之日至递交投标文件截止之日期间有效，截图页面背景须体现清晰可见的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投标的，须出具法定代表人（负责人）身份证明及身份证复印件，并与营业执照上信息一致；法定代表人授权代表参加投标的，须出具法定代表人授权书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技术方案.docx 开标一览表 法人证明书.docx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签名、盖章</w:t>
            </w:r>
          </w:p>
        </w:tc>
        <w:tc>
          <w:tcPr>
            <w:tcW w:type="dxa" w:w="3322"/>
          </w:tcPr>
          <w:p>
            <w:pPr>
              <w:pStyle w:val="null3"/>
            </w:pPr>
            <w:r>
              <w:rPr>
                <w:rFonts w:ascii="仿宋_GB2312" w:hAnsi="仿宋_GB2312" w:cs="仿宋_GB2312" w:eastAsia="仿宋_GB2312"/>
              </w:rPr>
              <w:t>投标人必须按照招标文件的规定和要求在投标文件中指定的页面落款处加盖公章并由负责人或被授权人签名（或盖章），其余页面逐页盖公章，否则将作为无效投标响应处理。</w:t>
            </w:r>
          </w:p>
        </w:tc>
        <w:tc>
          <w:tcPr>
            <w:tcW w:type="dxa" w:w="1661"/>
          </w:tcPr>
          <w:p>
            <w:pPr>
              <w:pStyle w:val="null3"/>
            </w:pPr>
            <w:r>
              <w:rPr>
                <w:rFonts w:ascii="仿宋_GB2312" w:hAnsi="仿宋_GB2312" w:cs="仿宋_GB2312" w:eastAsia="仿宋_GB2312"/>
              </w:rPr>
              <w:t>开标一览表 技术方案.docx 法人证明书.docx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投标文件报价不得超过最高限价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A、投标人的投标报价有选择性报价或者招标报价重新计算后超过本项目采购预算或者最高限价的； B、投标人未经过正常渠道领取招标文件，或投标人名称与领取招标文件时登记的投标人名称不符的； C、无招标有效期或有效期达不到招标文件要求的； D、投标人针对同一项目递交两份或多份内容不同的投标文件，未书面声明哪一份是有效的或出现选择性报价的； E、提供虚假资料；提供虚假资质、虚假技术指标证明材料、虚假证明（包括第三方提供的虚假证明）；出现虚假应答、承诺、声明的； F、投标人附加了采购单位难以接受的条件或条款的； G、投标人前期参与了本次项目方案设计的； H、在政府采购或其它重大项目履约过程中有不良记录或未能按期履约的； I、投标人使用虚假印章或印章无法证实为真实有效； J、谈判报价与市场价格偏离较大、低于成本、形成不正当竞争的； K、报价子目出现漏项或报价与要求不符的； L、投标人投标的采购范围及采购内容与招标文件要求出现重大负偏差的； M、实质性内容不满足、未完全未投标招标要求或擅自改动工程量清单的； N、投标人有串通参与招标、行贿等违法行为的； O、投标文件的关键内容字迹模糊、无法辨认的；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开标一览表 技术方案.docx 法人证明书.docx 中小企业声明函 商务应答表 投标人应提交的相关资格证明材料 法人授权书.docx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经过有效性和符合性审核合格的供应商，其商务条款响应符合招标文件最低要求的计8分。优于招标文件要求的每项另加2分，最多加2分。不完全响应最低要求的计0分。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（1）提供针对本项目的项目组织及供货实施方案，计0.1-4分，不提供不计分； （2）提供针对本项目的车辆使用方案，计0.1-4分，不提供不计分； （3）提供针对本项目的拟验收方案，计0.1-4分，不提供不计分； （4）提供针对本项目的拟投入人力、财力，物力调配，计0.1-4分，不提供不计分； （5）提供针对本项目的保障措施，计0.1-4分，不提供不计分。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产品合法来源证明</w:t>
            </w:r>
          </w:p>
        </w:tc>
        <w:tc>
          <w:tcPr>
            <w:tcW w:type="dxa" w:w="2492"/>
          </w:tcPr>
          <w:p>
            <w:pPr>
              <w:pStyle w:val="null3"/>
            </w:pPr>
            <w:r>
              <w:rPr>
                <w:rFonts w:ascii="仿宋_GB2312" w:hAnsi="仿宋_GB2312" w:cs="仿宋_GB2312" w:eastAsia="仿宋_GB2312"/>
              </w:rPr>
              <w:t>提供产品合法来源证明材料（不限于检测报告、合格证、产品彩页）。每提供一个产品得1分，计满2分为止。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供应产品完全满足招标文件技术要求的，得7分。优于一项加1分，最多加3分。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（1）提供针对本项目的售后服务机构及售后服务人员配置、售后服务电话、售后响应时间，计0.1-4分，不提供不计分； （2）提供针对本项目的产品维护保养方案，计0.1-4分，不提供不计分； （3）提供针对本项目的售后服务保障措施及承诺，计0.1-4分，不提供不计分； （4）提供针对本项目的培训计划、方式、内容、培训反馈及总结，计0.1-4分，不提供不计分。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（1）提供针对本项目的质量管理，计0.1-4分，不提供不计分； （2）提供针对本项目的质量保障措施，计0.1-4分，不提供不计分； （3）提供针对本项目的质量保证承诺，计0.1-4分，不提供不计分； （4）提供针对本项目的突发状况的应急预案措施，计0.1-4分，不提供不计分。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价格分统一采用低价优先法计算，即满足招标文件要求且价格最低的投标评审价为评标基准价，其价格分为满分。其他投标人的价格分统一按照下列公式计算：价格分=(评标基准价／投标评审价)×100×价格权值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