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版本号：SYTH-ZFCG-2025-00420250724001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广阳镇果业（粮食）农业综合服务站建设项目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SYTH-ZFCG-2025-004</w:t>
      </w:r>
      <w:r>
        <w:br/>
      </w:r>
      <w:r>
        <w:br/>
      </w:r>
      <w:r>
        <w:br/>
      </w:r>
    </w:p>
    <w:p>
      <w:pPr>
        <w:pStyle w:val="null3"/>
        <w:jc w:val="center"/>
        <w:outlineLvl w:val="2"/>
      </w:pPr>
      <w:r>
        <w:rPr>
          <w:rFonts w:ascii="仿宋_GB2312" w:hAnsi="仿宋_GB2312" w:cs="仿宋_GB2312" w:eastAsia="仿宋_GB2312"/>
          <w:sz w:val="28"/>
          <w:b/>
        </w:rPr>
        <w:t>铜川市印台区广阳镇人民政府</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铜川市印台区广阳镇人民政府</w:t>
      </w:r>
      <w:r>
        <w:rPr>
          <w:rFonts w:ascii="仿宋_GB2312" w:hAnsi="仿宋_GB2312" w:cs="仿宋_GB2312" w:eastAsia="仿宋_GB2312"/>
        </w:rPr>
        <w:t>委托，拟对</w:t>
      </w:r>
      <w:r>
        <w:rPr>
          <w:rFonts w:ascii="仿宋_GB2312" w:hAnsi="仿宋_GB2312" w:cs="仿宋_GB2312" w:eastAsia="仿宋_GB2312"/>
        </w:rPr>
        <w:t>广阳镇果业（粮食）农业综合服务站建设项目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广阳镇果业（粮食）农业综合服务站建设项目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采购玉米收割机拖拉机、旋耕机、翻转犁、秸秆还田机、拓荒机、割草机 果园作业平台、撒肥车等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为“中国政府采购网(www.ccgp.gov.cn)”政府采购严重违法失信行为记录名单中被财政部门禁止参加政府采购活动的投标单位；投标单位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投标单位领取招标文件之日至递交响应文件截止之日期间有效，截图页面背景须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3、具有履行合同所必需的设备和专业技术能力：提供具有履行合同所必需的设备和专业技术能力的书面声明；投标单位需在项目电子化交易系统中按要求上传相应证明文件并进行电子签章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提供参加本次政府采购活动前3年内在经营活动中没有重大违法记录或被起诉的书面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提供单位负责人为同一人或存在直接控股、管理关系的不同投标单位，不得参加本项目中同一合同项下的政府采购活动的书面声明；投标单位需在项目电子化交易系统中按要求上传相应证明文件并进行电子签章</w:t>
      </w:r>
    </w:p>
    <w:p>
      <w:pPr>
        <w:pStyle w:val="null3"/>
      </w:pPr>
      <w:r>
        <w:rPr>
          <w:rFonts w:ascii="仿宋_GB2312" w:hAnsi="仿宋_GB2312" w:cs="仿宋_GB2312" w:eastAsia="仿宋_GB2312"/>
        </w:rPr>
        <w:t>8、法定代表人证明书及授权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9、本项目不接受联合体：提供非联合体声明；投标单位需在项目电子化交易系统中按要求上传相应证明文件并进行电子签章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铜川市印台区广阳镇街道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铜川市印台区广阳镇人民政府经办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0919-7382305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13571408063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铜川市印台区广阳镇人民政府</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铜川市印台区广阳镇人民政府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联系电话：13571408063</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采购玉米收割机拖拉机、旋耕机、翻转犁、秸秆还田机、拓荒机、割草机 果园作业平台、撒肥车等。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858,000.00</w:t>
      </w:r>
    </w:p>
    <w:p>
      <w:pPr>
        <w:pStyle w:val="null3"/>
      </w:pPr>
      <w:r>
        <w:rPr>
          <w:rFonts w:ascii="仿宋_GB2312" w:hAnsi="仿宋_GB2312" w:cs="仿宋_GB2312" w:eastAsia="仿宋_GB2312"/>
        </w:rPr>
        <w:t>采购包最高限价（元）: 858,000.00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拓荒机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割草机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割草机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果园作业平台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撒肥车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结构型式：自走履带式;功能型式：果穗收获 剥皮;配套发动机排放标准:国四;配套发动机结构型式：直列、水冷、四冲程;发动机标定功率：（额定/净功率）(kW): ≥103/103;发动机标定转速(r/min):2400;整机外形尺寸(长×宽高)(mm):≤6440×2200×3130;整机质量(kg ) :≥ 5200;工作行数（通道数）(行):3;行距(mm): 620;工作幅宽(mm): ≥1840;最小离地间隙(mm):≥200;作业速度(km/h):≥2.0～4.0;作业小时生产率(hm&lt;sup&gt;2&lt;/sup&gt;/h):≥0.3～0.45;单位面积燃油消耗量( kg/hm&lt;sup&gt;2&lt;/sup&gt;):≤30;果穗升运器布置位置: 左置;果穗升运器结构型式:刮板式;摘穗机构型式:板式;摘穗辊/板数量(个) :6;剥皮机构型式:全胶辊;剥皮辊数量 (个):≥16;割台型式:卧式;风扇数量(个): 2;风扇型式:离心式;风扇直径(mm):≥Φ600、Φ430驾驶室型式 ：空调驾驶室；变速机构型式：机械式变速箱+静液压无极变速；驱动方式（前/后） ：机械+液压驱动；制动器型式（前/后）：湿式摩擦片</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整机驱动型式 :四驱；整机外廓尺寸(长×宽×高及部位) mm:≥ 5000×2400×3100 （至空滤顶端）；轴距或履带接地长 mm ≥2700；最小离地间隙及部位 mm: ≥ 460（前桥下端）；离合器壳体前端面至后驱动轴轴心线的水平距离 mm: ≥1380；变速箱齿轮副轴孔中心距 mm: ≥110；最小使用质量 kg:≥ 6520；标准配重(前/后) kg :≥320/300；最小使用比质量 kg/kW:≥ 44；挡位数（前进/倒退）： 24/8；主变速挡位数 ：≥4；最高设计理论速度 km/h ≤38；发动机与主离合器联接方式 :直联；翻倾防护装置（驾驶室或安全框架）型式 : 空调驾驶室；发动机排放标准：国四；发动机结构型式 ：立式、直列、四冲程；发动机进气方式 ： 增压中冷；发动机气缸数（个）： 6；发动机标定功率 kW ：≥ 147；发动机额定净功率 kW:  ≥162；发动机标定转速 r/min: 2200；发动机冷却方式 : 水冷；转向系型式 : 全液压；转向系转向机构型式 : 前轮转向；传动系箱体数量、变速箱（器）型式 : 2个、机械平面组成式；轮胎型号(前轮/后轮) : 14.9R26/18.4R38；轮胎数量(前轮/后轮) 个 2/2；液压悬挂系统型式 : 分置式；悬挂装置型式 :后置三点悬挂；悬挂装置类别 / 3类；动力输出轴花键数目（个） ：8；动力输出轴标准转速:  720/860r/min；</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结构形式:框架型；整机外形尺寸(长×宽×mm):≥1370×2840×1330；配套拖拉机标定功率范围(kw):110.2-154.4；工作幅宽(cm):250；传动型式：中间传动；刀辊总安装刀数(把):≥48；旋耕刀型号:盘式旋耕耙刀R245</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：悬挂式调幅；配套拖拉机标定功率： kW 117.13～131.78；翻转机构型式 ： 液压式，全翻转式；犁体类型 :基本（通用）型;犁体数量 (个): 左右各3;犁铧类型 : 可换铧尖型;犁体幅宽(㎜):600;总工作幅宽(㎜): 1800;犁壁类型 : 栅条式;犁体纵向距离(㎜): 1040;犁轮类型 : 限深、运输一体轮;犁轮数量 (个): 1;限深轮调节范围(cm): 0～20.0;油缸型号 :≥ Φ80/50-245;油缸数量(个):  1</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配套标定功率(kw）:80.8-102.9；与拖拉机连接方式：三点悬挂；外形尺寸(长×宽×高mm):≥1350×2750×1050；刀轴总成传动方式：侧边皮带传动；刀片型式：甩刀式；总安装刀数(把):≥150</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：悬挂式；配套拖拉机标定功率（kW）：14.7～51.45；翻转机构型式 ： 液压式，全翻转式；犁体类型 :基本（通用）型;犁体数量 (个): 左右各1;犁体幅宽(㎜):≥400;犁壁类型 : 栅条式;犁铧类型 : 可换铧尖型;总工作幅宽(㎜): ≥400;犁轮类型 : 限深轮;犁轮数量 (个): 1;限深轮调节范围(cm): 0～20.0;油缸数量(个):  1</w:t>
            </w:r>
          </w:p>
        </w:tc>
      </w:tr>
    </w:tbl>
    <w:p>
      <w:pPr>
        <w:pStyle w:val="null3"/>
      </w:pPr>
      <w:r>
        <w:rPr>
          <w:rFonts w:ascii="仿宋_GB2312" w:hAnsi="仿宋_GB2312" w:cs="仿宋_GB2312" w:eastAsia="仿宋_GB2312"/>
        </w:rPr>
        <w:t>标的名称：拓荒机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整机外形尺寸(长×宽×高）（mm）:≤1790×1190×650；整机重量（KG）：≥390；割草宽度（cm）：100；液压油顶升降幅度（cm）：0-20；行走速度（米/秒）：≥1.2；发电机功率（KW）：5.2；刀头电机功率（KW）：3；行走电机功率（KW）：6；最大转速（转/分）：3450；电池容量（安时）：12；车辆电压（V）：48；遥控距离（米）：200；车辆反应时间（毫秒）：50；定速配置：有；速度闭环自动纠正：有；动力类型：油电混动；最大爬坡角度：50度；最大作业角度（度）：≤10（平行作业）；油箱容积（升）≥4.2。</w:t>
            </w:r>
          </w:p>
        </w:tc>
      </w:tr>
    </w:tbl>
    <w:p>
      <w:pPr>
        <w:pStyle w:val="null3"/>
      </w:pPr>
      <w:r>
        <w:rPr>
          <w:rFonts w:ascii="仿宋_GB2312" w:hAnsi="仿宋_GB2312" w:cs="仿宋_GB2312" w:eastAsia="仿宋_GB2312"/>
        </w:rPr>
        <w:t>标的名称：割草机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形式：乘坐轮式自走；配套（发动机标定）功率（KW）：≥16.5；发动机传动方式：直连；工作宽度（mm）：≥9700;整机高度（mm）：≤1050；邮箱容积（L）：≥20;割刀数量（个）：2；爬坡能力：≥25º；作业效率（m²/h）：≥5000</w:t>
            </w:r>
          </w:p>
        </w:tc>
      </w:tr>
    </w:tbl>
    <w:p>
      <w:pPr>
        <w:pStyle w:val="null3"/>
      </w:pPr>
      <w:r>
        <w:rPr>
          <w:rFonts w:ascii="仿宋_GB2312" w:hAnsi="仿宋_GB2312" w:cs="仿宋_GB2312" w:eastAsia="仿宋_GB2312"/>
        </w:rPr>
        <w:t>标的名称：割草机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外形尺寸（mm）≤2450*1750*930；输入转速：≥500r/min；圆盘刀片：2片；圆盘内径（mm）：≥600；整机重量≥450kg；总作业宽幅（mm）：≥2000；主机作业宽幅（mm）：≥1500；最大避障范围（mm）：≥340；锤刀数量（个）：≥24片；配套动力范围（马力）：50-90。</w:t>
            </w:r>
          </w:p>
        </w:tc>
      </w:tr>
    </w:tbl>
    <w:p>
      <w:pPr>
        <w:pStyle w:val="null3"/>
      </w:pPr>
      <w:r>
        <w:rPr>
          <w:rFonts w:ascii="仿宋_GB2312" w:hAnsi="仿宋_GB2312" w:cs="仿宋_GB2312" w:eastAsia="仿宋_GB2312"/>
        </w:rPr>
        <w:t>标的名称：果园作业平台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自走式;驱动型式:2轮驱动;升降机构类型:剪叉式;转向型式:机械转向;配套动力型式:电动机;配套动力:≥2KW;整机外形尺寸(长X宽X高）：≥2240X1670X1990mm;工作台最大尺寸(长X宽）：≥1780X2200mm;额定载荷:400kg;举升负载量≥:400kg;升降高度范围:790~1800mm;最小离地间隙:≥165mm;爬4.5坡能力:≥15%；轮距:1400-1460mm；平台升降速度:额定负载升速:≥70mm/s;空载升速:≥85mm/s；额定负载降速:≥210mm/s;空载降速:≥175mm/s；最大沉降量:≤8mm；行走速度范围:0~2.5m/s；转弯半径:≤4.2m。</w:t>
            </w:r>
          </w:p>
        </w:tc>
      </w:tr>
    </w:tbl>
    <w:p>
      <w:pPr>
        <w:pStyle w:val="null3"/>
      </w:pPr>
      <w:r>
        <w:rPr>
          <w:rFonts w:ascii="仿宋_GB2312" w:hAnsi="仿宋_GB2312" w:cs="仿宋_GB2312" w:eastAsia="仿宋_GB2312"/>
        </w:rPr>
        <w:t>标的名称：撒肥车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形式：自走乘坐三轮式；整机外形尺寸(长X宽X高）：≥4200X1600X1800mm;料箱容积（立方米）：3；配套功率（KW）：≥23.5；发动机传动方式：皮带；肥料输送方式：链板推动；抛洒装置：后置双圆盘抛洒；抛洒宽度（mm）：600-1600可调;减震形式：升级双减震；轮胎规格（前/后）：≥6.00-14LT/7.00-16LT 6PR;轮胎数量（前/后）（个）：1/4;</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本次采购的所有货物；根据产品质保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为“中国政府采购网(www.ccgp.gov.cn)”政府采购严重违法失信行为记录名单中被财政部门禁止参加政府采购活动的投标单位；投标单位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投标单位领取招标文件之日至递交响应文件截止之日期间有效，截图页面背景须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提供参加本次政府采购活动前3年内在经营活动中没有重大违法记录或被起诉的书面声明；投标单位需在项目电子化交易系统中按要求上传相应证明文件并进行电子签章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提供单位负责人为同一人或存在直接控股、管理关系的不同投标单位，不得参加本项目中同一合同项下的政府采购活动的书面声明；投标单位需在项目电子化交易系统中按要求上传相应证明文件并进行电子签章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法定代表人证明书及授权委托书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经过有效性和符合性审核合格的投标人，其商务应答完全响应招标文件商务要求的计5分。优于招标文件要求的每项另计1分，最多加3分。不完全响应的计0分。（招标文件商务要求为最低要求，不得负偏离）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投标人具有2020年1月至今（以合同签订日期为准）的同类项目业绩，投标文件中提供合同复印件加盖公章，每提供一个得2分，本项最高得10分。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 具有完善的组织生产、供货运输、安装调试等方案。项目实施计划阶段划分合理关键点明确，进度安排合理，并针对本项目特点做出合理计划及调配，计4.1-6.0分；技术方案基本完整、思路较清晰，语言表述较准确。项目实施计划阶段划分合理关键点较为明确，进度安排基本合理，针对本项目特点做出基本合理的计划及调配，计2.1-4分；技术方案不完整、思路不清晰，语言表述不够准确，前后不一致，进度安排不合理，不能针对本项目做出合理的计划，计0-2分。 2、提供产品合法来源证明材料。每提供一个得0.5分，计满6分为止。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供应产品完全满足采购文件最低技术要求的，得5分，根据偏离情况每优于一项加1分，最多加15分；每低于一项扣0.5分；扣完为止。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 2、培训措施：提供详尽的培训方案及培训计划，并列出培训的具体内容及方式，确保使用人员能够独立熟练操作、维护和正常使用。（措施方案详尽可行，有具体时间安排和培训学员的食宿安排得2.1-4分；培训方案及计划内容一般，但能够基本满足学员的正常操作及维护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1、投标单位应提供在陕西省境内的售后服务中心的名称、地址、电话、联系人、维修人员名单。（以上完全提供得2分，不完全提供不得分） 2、每提供一位售后服务维修人员的证书得0.5分，最多得2分。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单位提供详细的质量保证措施，质量保证措施得力，能有效地保障项目实施过程的衔接、保证项目质量。质量保证措施针对本项目并且全面、具体、可行、科学合理，能有效保证质量得1.1-2分；质量保证措施较简单，内容基本合理得0.1-1分；未提供质量保证措施或者提供的质量保证措施内容不合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有针对突发事件的应急响应能力，应对各类突发事件的应急预案和措施，对此有明确、具体、切实可行的的解决措施的得1.1-2分；有突发事件的应急响应能力，有应对突发事件的应急预案和措施，对此有解决措施的得0.1-1分；没有突发事件的应急响应能力，没有应对突发事件的应急预案和措施，对此没有解决措施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