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版本号：SXGLZFCG2025-024号20250707001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铜川市印台区竹节虫应急防治项目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SXGLZFCG2025-024号</w:t>
      </w:r>
      <w:r>
        <w:br/>
      </w:r>
      <w:r>
        <w:br/>
      </w:r>
      <w:r>
        <w:br/>
      </w:r>
    </w:p>
    <w:p>
      <w:pPr>
        <w:pStyle w:val="null3"/>
        <w:jc w:val="center"/>
        <w:outlineLvl w:val="2"/>
      </w:pPr>
      <w:r>
        <w:rPr>
          <w:rFonts w:ascii="仿宋_GB2312" w:hAnsi="仿宋_GB2312" w:cs="仿宋_GB2312" w:eastAsia="仿宋_GB2312"/>
          <w:sz w:val="28"/>
          <w:b/>
        </w:rPr>
        <w:t>铜川市印台区焦坪国有生态林场</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铜川市印台区焦坪国有生态林场</w:t>
      </w:r>
      <w:r>
        <w:rPr>
          <w:rFonts w:ascii="仿宋_GB2312" w:hAnsi="仿宋_GB2312" w:cs="仿宋_GB2312" w:eastAsia="仿宋_GB2312"/>
        </w:rPr>
        <w:t>委托，拟对</w:t>
      </w:r>
      <w:r>
        <w:rPr>
          <w:rFonts w:ascii="仿宋_GB2312" w:hAnsi="仿宋_GB2312" w:cs="仿宋_GB2312" w:eastAsia="仿宋_GB2312"/>
        </w:rPr>
        <w:t>铜川市印台区竹节虫应急防治项目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SXGLZFCG2025-024号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铜川市印台区竹节虫应急防治项目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因持续高温、气候异常，导致我区部分林地突发大面积竹节虫害，虫害种群密度大、扩散快，繁殖数量多，严重危害森林资源及周边农作物安全。危害区域主要在三道桥、雷雨顺广场和石林梁等地，为保护森林资源，守护生态安全，需进行应急防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采购包1（铜川市印台区竹节虫应急防治项目）：属于专门面向中小企业采购。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1、营业执照：具有独立承担民事责任的能力，提供法人或者其他组织的营业执照等证明文件，自然人的身份证明</w:t>
      </w:r>
    </w:p>
    <w:p>
      <w:pPr>
        <w:pStyle w:val="null3"/>
      </w:pPr>
      <w:r>
        <w:rPr>
          <w:rFonts w:ascii="仿宋_GB2312" w:hAnsi="仿宋_GB2312" w:cs="仿宋_GB2312" w:eastAsia="仿宋_GB2312"/>
        </w:rPr>
        <w:t>2、社会保障资金缴纳：提供响应文件递交截止时间前6个月内任意1个月已缴存的任意时段的社会保障资金缴存单据或社保机构开具的社会保险参保缴费情况证明</w:t>
      </w:r>
    </w:p>
    <w:p>
      <w:pPr>
        <w:pStyle w:val="null3"/>
      </w:pPr>
      <w:r>
        <w:rPr>
          <w:rFonts w:ascii="仿宋_GB2312" w:hAnsi="仿宋_GB2312" w:cs="仿宋_GB2312" w:eastAsia="仿宋_GB2312"/>
        </w:rPr>
        <w:t>3、税收缴纳证明：提供响应文件递交截止时间前6个月内任意1个月已缴纳完税凭证（任意税种）或税务机关开具的完税证明（任意税种）</w:t>
      </w:r>
    </w:p>
    <w:p>
      <w:pPr>
        <w:pStyle w:val="null3"/>
      </w:pPr>
      <w:r>
        <w:rPr>
          <w:rFonts w:ascii="仿宋_GB2312" w:hAnsi="仿宋_GB2312" w:cs="仿宋_GB2312" w:eastAsia="仿宋_GB2312"/>
        </w:rPr>
        <w:t>4、财务状况证明：供应商提供2023或2024年任意一年的财务审计报告(成立时间至提交响应文件截止时间不足1年的可提供成立后任意时段的资产负债表)，或其基本存款账户开户银行出具的资信或资金证明(复印件加盖供应商公章)</w:t>
      </w:r>
    </w:p>
    <w:p>
      <w:pPr>
        <w:pStyle w:val="null3"/>
      </w:pPr>
      <w:r>
        <w:rPr>
          <w:rFonts w:ascii="仿宋_GB2312" w:hAnsi="仿宋_GB2312" w:cs="仿宋_GB2312" w:eastAsia="仿宋_GB2312"/>
        </w:rPr>
        <w:t>5、信用查询：供应商不得在“信用中国”网站（www.creditchina.gov.cn）中列入失信被执行人和重大税收违法失信主体名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6、具有履行合同所必需的设备和专业技术能力承诺：具有履行合同所必需的设备和专业技术能力，提供证明材料或书面承诺并加盖公章</w:t>
      </w:r>
    </w:p>
    <w:p>
      <w:pPr>
        <w:pStyle w:val="null3"/>
      </w:pPr>
      <w:r>
        <w:rPr>
          <w:rFonts w:ascii="仿宋_GB2312" w:hAnsi="仿宋_GB2312" w:cs="仿宋_GB2312" w:eastAsia="仿宋_GB2312"/>
        </w:rPr>
        <w:t>7、声明：参加政府采购活动近三年内，在经营活动中没有重大违法记录，提供书面声明</w:t>
      </w:r>
    </w:p>
    <w:p>
      <w:pPr>
        <w:pStyle w:val="null3"/>
      </w:pPr>
      <w:r>
        <w:rPr>
          <w:rFonts w:ascii="仿宋_GB2312" w:hAnsi="仿宋_GB2312" w:cs="仿宋_GB2312" w:eastAsia="仿宋_GB2312"/>
        </w:rPr>
        <w:t>8、资质证书：供应商须具备林业有害生物防治丁级及以上资质证书及《民用无人驾驶航空器运营合格证》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铜川市印台区焦坪国有生态林场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铜川市印台区金锁关镇纸坊工业园区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铜川市印台区焦坪国有生态林场经办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13571578088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铜川市王益区七一路工行3楼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傅兆麟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13629191282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铜川市印台区焦坪国有生态林场</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铜川市印台区焦坪国有生态林场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铜川市印台区焦坪国有生态林场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联系人：傅兆麟</w:t>
      </w:r>
    </w:p>
    <w:p>
      <w:pPr>
        <w:pStyle w:val="null3"/>
      </w:pPr>
      <w:r>
        <w:rPr>
          <w:rFonts w:ascii="仿宋_GB2312" w:hAnsi="仿宋_GB2312" w:cs="仿宋_GB2312" w:eastAsia="仿宋_GB2312"/>
        </w:rPr>
        <w:t>联系电话：13629191282</w:t>
      </w:r>
    </w:p>
    <w:p>
      <w:pPr>
        <w:pStyle w:val="null3"/>
      </w:pPr>
      <w:r>
        <w:rPr>
          <w:rFonts w:ascii="仿宋_GB2312" w:hAnsi="仿宋_GB2312" w:cs="仿宋_GB2312" w:eastAsia="仿宋_GB2312"/>
        </w:rPr>
        <w:t>地址：铜川市王益区七一路工行三楼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因持续高温、气候异常，导致我区部分林地突发大面积竹节虫害，虫害种群密度大、扩散快，繁殖数量多，严重危害森林资源及周边农作物安全。危害区域主要在三道桥、雷雨顺广场和石林梁等地，为保护森林资源，守护生态安全，需进行应急防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366,000.00</w:t>
      </w:r>
    </w:p>
    <w:p>
      <w:pPr>
        <w:pStyle w:val="null3"/>
      </w:pPr>
      <w:r>
        <w:rPr>
          <w:rFonts w:ascii="仿宋_GB2312" w:hAnsi="仿宋_GB2312" w:cs="仿宋_GB2312" w:eastAsia="仿宋_GB2312"/>
        </w:rPr>
        <w:t>采购包最高限价（元）: 366,000.00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病虫害防治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标的名称：病虫害防治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color w:val="333333"/>
              </w:rPr>
              <w:t>一、</w:t>
            </w:r>
            <w:r>
              <w:rPr>
                <w:rFonts w:ascii="仿宋_GB2312" w:hAnsi="仿宋_GB2312" w:cs="仿宋_GB2312" w:eastAsia="仿宋_GB2312"/>
                <w:sz w:val="18"/>
                <w:color w:val="333333"/>
              </w:rPr>
              <w:t>项目概况</w:t>
            </w:r>
            <w:r>
              <w:rPr>
                <w:rFonts w:ascii="仿宋_GB2312" w:hAnsi="仿宋_GB2312" w:cs="仿宋_GB2312" w:eastAsia="仿宋_GB2312"/>
                <w:sz w:val="18"/>
                <w:color w:val="333333"/>
              </w:rPr>
              <w:t>：</w:t>
            </w:r>
            <w:r>
              <w:rPr>
                <w:rFonts w:ascii="仿宋_GB2312" w:hAnsi="仿宋_GB2312" w:cs="仿宋_GB2312" w:eastAsia="仿宋_GB2312"/>
                <w:sz w:val="18"/>
                <w:color w:val="333333"/>
              </w:rPr>
              <w:t>因持续高温、气候异常，导致我区部分林地突发大面积竹节虫害，虫害种群密度大、</w:t>
            </w:r>
            <w:r>
              <w:rPr>
                <w:rFonts w:ascii="仿宋_GB2312" w:hAnsi="仿宋_GB2312" w:cs="仿宋_GB2312" w:eastAsia="仿宋_GB2312"/>
                <w:sz w:val="18"/>
                <w:color w:val="333333"/>
              </w:rPr>
              <w:t>扩散快，繁殖数量多，严重危害森林资源及周边农作物安全。危害区域主要在三道桥、雷雨顺广场和石林梁等地，为保护森林资源，守护生态安全，需进行应急防治。</w:t>
            </w:r>
            <w:r>
              <w:rPr>
                <w:rFonts w:ascii="仿宋_GB2312" w:hAnsi="仿宋_GB2312" w:cs="仿宋_GB2312" w:eastAsia="仿宋_GB2312"/>
                <w:sz w:val="18"/>
                <w:color w:val="333333"/>
              </w:rPr>
              <w:t>目前发生虫害面积约为</w:t>
            </w:r>
            <w:r>
              <w:rPr>
                <w:rFonts w:ascii="仿宋_GB2312" w:hAnsi="仿宋_GB2312" w:cs="仿宋_GB2312" w:eastAsia="仿宋_GB2312"/>
                <w:sz w:val="18"/>
                <w:color w:val="333333"/>
              </w:rPr>
              <w:t>3380亩，其中严重面积为1510亩，三道桥至雷雨顺广场为国有林面积1160亩，半截沟沟口至姬家塔路口为集体进面积350亩;一般危害面积为1870亩三道桥至雷雨顺广场为国有林面积888亩，半截沟沟口、石林梁上石林路口至三道桥为集体林面积982亩。为有效防治竹节虫避免其向四周扩散造成危害，将防治范围向四周扩大10米左右，总防治面积约3600亩。（最终防治面积以日常监测，普查，有害生物发生面积为准）</w:t>
            </w:r>
          </w:p>
          <w:p>
            <w:pPr>
              <w:pStyle w:val="null3"/>
              <w:jc w:val="both"/>
            </w:pPr>
            <w:r>
              <w:rPr>
                <w:rFonts w:ascii="仿宋_GB2312" w:hAnsi="仿宋_GB2312" w:cs="仿宋_GB2312" w:eastAsia="仿宋_GB2312"/>
                <w:sz w:val="18"/>
                <w:color w:val="333333"/>
              </w:rPr>
              <w:t>二、</w:t>
            </w:r>
            <w:r>
              <w:rPr>
                <w:rFonts w:ascii="仿宋_GB2312" w:hAnsi="仿宋_GB2312" w:cs="仿宋_GB2312" w:eastAsia="仿宋_GB2312"/>
                <w:sz w:val="18"/>
                <w:color w:val="333333"/>
              </w:rPr>
              <w:t>防治对象</w:t>
            </w:r>
            <w:r>
              <w:rPr>
                <w:rFonts w:ascii="仿宋_GB2312" w:hAnsi="仿宋_GB2312" w:cs="仿宋_GB2312" w:eastAsia="仿宋_GB2312"/>
                <w:sz w:val="18"/>
                <w:color w:val="333333"/>
              </w:rPr>
              <w:t>：</w:t>
            </w:r>
            <w:r>
              <w:rPr>
                <w:rFonts w:ascii="仿宋_GB2312" w:hAnsi="仿宋_GB2312" w:cs="仿宋_GB2312" w:eastAsia="仿宋_GB2312"/>
                <w:sz w:val="18"/>
                <w:color w:val="333333"/>
              </w:rPr>
              <w:t>本次防治作业的主要防治对象为竹节虫。竹节虫是一种典型的植食性森林昆虫，它们主要栖息在高山、密林和生境复杂的环境中。由于竹节虫大多为杂食性，它们除了对森林资源造成破坏外，还会对部分农作物如玉米、豆类、薯类等构成危害，因此防治竹节虫对于保护森林资源和农作物具有重要意义。</w:t>
            </w:r>
          </w:p>
          <w:p>
            <w:pPr>
              <w:pStyle w:val="null3"/>
              <w:jc w:val="both"/>
            </w:pPr>
            <w:r>
              <w:rPr>
                <w:rFonts w:ascii="仿宋_GB2312" w:hAnsi="仿宋_GB2312" w:cs="仿宋_GB2312" w:eastAsia="仿宋_GB2312"/>
                <w:sz w:val="18"/>
                <w:color w:val="333333"/>
              </w:rPr>
              <w:t>三、</w:t>
            </w:r>
            <w:r>
              <w:rPr>
                <w:rFonts w:ascii="仿宋_GB2312" w:hAnsi="仿宋_GB2312" w:cs="仿宋_GB2312" w:eastAsia="仿宋_GB2312"/>
                <w:sz w:val="18"/>
                <w:color w:val="333333"/>
              </w:rPr>
              <w:t>项目实施内容</w:t>
            </w:r>
            <w:r>
              <w:rPr>
                <w:rFonts w:ascii="仿宋_GB2312" w:hAnsi="仿宋_GB2312" w:cs="仿宋_GB2312" w:eastAsia="仿宋_GB2312"/>
                <w:sz w:val="18"/>
                <w:color w:val="333333"/>
              </w:rPr>
              <w:t>：</w:t>
            </w:r>
            <w:r>
              <w:rPr>
                <w:rFonts w:ascii="仿宋_GB2312" w:hAnsi="仿宋_GB2312" w:cs="仿宋_GB2312" w:eastAsia="仿宋_GB2312"/>
                <w:sz w:val="18"/>
                <w:color w:val="333333"/>
              </w:rPr>
              <w:t>1、对林场全域开展林业有害生物日常监测，普查，准确掌握林业有害生物发生面积、危害现状和分布状况。 2、三道桥、雷雨顺广场和石林梁等地，采用无人机喷防和人工防治措施方式开展竹节虫防治，防治面积约3600亩（2次防治，间隔7-10天）。</w:t>
            </w:r>
          </w:p>
          <w:p>
            <w:pPr>
              <w:pStyle w:val="null3"/>
              <w:jc w:val="both"/>
            </w:pPr>
            <w:r>
              <w:rPr>
                <w:rFonts w:ascii="仿宋_GB2312" w:hAnsi="仿宋_GB2312" w:cs="仿宋_GB2312" w:eastAsia="仿宋_GB2312"/>
                <w:sz w:val="18"/>
                <w:color w:val="333333"/>
              </w:rPr>
              <w:t>四、</w:t>
            </w:r>
            <w:r>
              <w:rPr>
                <w:rFonts w:ascii="仿宋_GB2312" w:hAnsi="仿宋_GB2312" w:cs="仿宋_GB2312" w:eastAsia="仿宋_GB2312"/>
                <w:sz w:val="18"/>
                <w:color w:val="333333"/>
              </w:rPr>
              <w:t>用药方案</w:t>
            </w:r>
            <w:r>
              <w:rPr>
                <w:rFonts w:ascii="仿宋_GB2312" w:hAnsi="仿宋_GB2312" w:cs="仿宋_GB2312" w:eastAsia="仿宋_GB2312"/>
                <w:sz w:val="18"/>
                <w:color w:val="333333"/>
              </w:rPr>
              <w:t>：</w:t>
            </w:r>
            <w:r>
              <w:rPr>
                <w:rFonts w:ascii="仿宋_GB2312" w:hAnsi="仿宋_GB2312" w:cs="仿宋_GB2312" w:eastAsia="仿宋_GB2312"/>
                <w:sz w:val="18"/>
                <w:color w:val="333333"/>
              </w:rPr>
              <w:t>第一次防治：</w:t>
            </w:r>
            <w:r>
              <w:rPr>
                <w:rFonts w:ascii="仿宋_GB2312" w:hAnsi="仿宋_GB2312" w:cs="仿宋_GB2312" w:eastAsia="仿宋_GB2312"/>
                <w:sz w:val="18"/>
                <w:color w:val="333333"/>
              </w:rPr>
              <w:t>30% 阿维・灭幼脲、25 克 / 升溴氰菊酯、飞防专用助剂。 第二次防治：23% 高效氯氟氰菊酯、20%甲氰菊酯、飞防专用助剂</w:t>
            </w:r>
          </w:p>
          <w:p>
            <w:pPr>
              <w:pStyle w:val="null3"/>
              <w:jc w:val="both"/>
            </w:pPr>
            <w:r>
              <w:rPr>
                <w:rFonts w:ascii="仿宋_GB2312" w:hAnsi="仿宋_GB2312" w:cs="仿宋_GB2312" w:eastAsia="仿宋_GB2312"/>
                <w:sz w:val="18"/>
                <w:color w:val="333333"/>
              </w:rPr>
              <w:t>注：</w:t>
            </w:r>
            <w:r>
              <w:rPr>
                <w:rFonts w:ascii="仿宋_GB2312" w:hAnsi="仿宋_GB2312" w:cs="仿宋_GB2312" w:eastAsia="仿宋_GB2312"/>
                <w:sz w:val="18"/>
                <w:color w:val="333333"/>
              </w:rPr>
              <w:t>1、供应商所提供的机械设备及药剂在项目服务实施前须经过采购人验收认可；2、防控作业使用的农药符合国家标准，三证齐全（分别是《农药登记证》、《农药生产许可证或农药生产批准文件》、《农药标准证》）；3、</w:t>
            </w:r>
            <w:r>
              <w:rPr>
                <w:rFonts w:ascii="仿宋_GB2312" w:hAnsi="仿宋_GB2312" w:cs="仿宋_GB2312" w:eastAsia="仿宋_GB2312"/>
                <w:sz w:val="18"/>
                <w:color w:val="333333"/>
              </w:rPr>
              <w:t>植保无人机飞防作业</w:t>
            </w:r>
            <w:r>
              <w:rPr>
                <w:rFonts w:ascii="仿宋_GB2312" w:hAnsi="仿宋_GB2312" w:cs="仿宋_GB2312" w:eastAsia="仿宋_GB2312"/>
                <w:sz w:val="18"/>
                <w:color w:val="333333"/>
              </w:rPr>
              <w:t>需满足</w:t>
            </w:r>
            <w:r>
              <w:rPr>
                <w:rFonts w:ascii="仿宋_GB2312" w:hAnsi="仿宋_GB2312" w:cs="仿宋_GB2312" w:eastAsia="仿宋_GB2312"/>
                <w:sz w:val="18"/>
                <w:color w:val="333333"/>
              </w:rPr>
              <w:t>相关技术要求</w:t>
            </w:r>
            <w:r>
              <w:rPr>
                <w:rFonts w:ascii="仿宋_GB2312" w:hAnsi="仿宋_GB2312" w:cs="仿宋_GB2312" w:eastAsia="仿宋_GB2312"/>
                <w:sz w:val="18"/>
                <w:color w:val="333333"/>
              </w:rPr>
              <w:t>。</w:t>
            </w:r>
          </w:p>
          <w:p>
            <w:pPr>
              <w:pStyle w:val="null3"/>
              <w:jc w:val="both"/>
            </w:pPr>
            <w:r>
              <w:rPr>
                <w:rFonts w:ascii="仿宋_GB2312" w:hAnsi="仿宋_GB2312" w:cs="仿宋_GB2312" w:eastAsia="仿宋_GB2312"/>
                <w:sz w:val="18"/>
                <w:color w:val="333333"/>
              </w:rPr>
              <w:t>五、</w:t>
            </w:r>
            <w:r>
              <w:rPr>
                <w:rFonts w:ascii="仿宋_GB2312" w:hAnsi="仿宋_GB2312" w:cs="仿宋_GB2312" w:eastAsia="仿宋_GB2312"/>
                <w:sz w:val="18"/>
                <w:color w:val="333333"/>
              </w:rPr>
              <w:t>服务质量、标准等要求</w:t>
            </w:r>
            <w:r>
              <w:rPr>
                <w:rFonts w:ascii="仿宋_GB2312" w:hAnsi="仿宋_GB2312" w:cs="仿宋_GB2312" w:eastAsia="仿宋_GB2312"/>
                <w:sz w:val="18"/>
                <w:color w:val="333333"/>
              </w:rPr>
              <w:t>：</w:t>
            </w:r>
            <w:r>
              <w:rPr>
                <w:rFonts w:ascii="仿宋_GB2312" w:hAnsi="仿宋_GB2312" w:cs="仿宋_GB2312" w:eastAsia="仿宋_GB2312"/>
                <w:sz w:val="18"/>
                <w:color w:val="333333"/>
              </w:rPr>
              <w:t>供应商必须严格按照有关技术标准，依照有关规定，对实施内容定期进行检查。供应商负责项目管理进程中的一切安全责任，其中包括万一发生的一切工伤事故及工作人员的作业或非作业性的人身安全等责任。供应商必须按时发工资，聘用人员工资待遇不能低于当地政府的最低工资待遇标准（社会保险和意外保险另算），任何劳资纠纷全由供应商负责。供应商必须按法律、法规及有关政策规定为其服务人员购买相关保险。供应商必须落实好安全生产的措施和配置安全作业的劳保用品。供应商的服务人员数量必须满足采购人的实际工作要求，且穿着统一标识的工作服。供应商所有与本项目有关的技术标准均应不低于已颁布的国家和行业标准，或相应的国际标准的有关条文。使用最新的专利和保密专利需特别说明。</w:t>
            </w:r>
          </w:p>
          <w:p>
            <w:pPr>
              <w:pStyle w:val="null3"/>
              <w:jc w:val="both"/>
            </w:pPr>
            <w:r>
              <w:rPr>
                <w:rFonts w:ascii="仿宋_GB2312" w:hAnsi="仿宋_GB2312" w:cs="仿宋_GB2312" w:eastAsia="仿宋_GB2312"/>
                <w:sz w:val="18"/>
                <w:color w:val="333333"/>
              </w:rPr>
              <w:t>六、</w:t>
            </w:r>
            <w:r>
              <w:rPr>
                <w:rFonts w:ascii="仿宋_GB2312" w:hAnsi="仿宋_GB2312" w:cs="仿宋_GB2312" w:eastAsia="仿宋_GB2312"/>
                <w:sz w:val="18"/>
                <w:color w:val="333333"/>
              </w:rPr>
              <w:t>服务期限：自签订合同一</w:t>
            </w:r>
            <w:r>
              <w:rPr>
                <w:rFonts w:ascii="仿宋_GB2312" w:hAnsi="仿宋_GB2312" w:cs="仿宋_GB2312" w:eastAsia="仿宋_GB2312"/>
                <w:sz w:val="18"/>
                <w:color w:val="333333"/>
              </w:rPr>
              <w:t>年</w:t>
            </w:r>
          </w:p>
          <w:p>
            <w:pPr>
              <w:pStyle w:val="null3"/>
              <w:jc w:val="both"/>
            </w:pPr>
            <w:r>
              <w:rPr>
                <w:rFonts w:ascii="仿宋_GB2312" w:hAnsi="仿宋_GB2312" w:cs="仿宋_GB2312" w:eastAsia="仿宋_GB2312"/>
                <w:sz w:val="18"/>
                <w:color w:val="333333"/>
              </w:rPr>
              <w:t>七</w:t>
            </w:r>
            <w:r>
              <w:rPr>
                <w:rFonts w:ascii="仿宋_GB2312" w:hAnsi="仿宋_GB2312" w:cs="仿宋_GB2312" w:eastAsia="仿宋_GB2312"/>
                <w:sz w:val="18"/>
                <w:color w:val="333333"/>
              </w:rPr>
              <w:t>、其他要求</w:t>
            </w:r>
            <w:r>
              <w:rPr>
                <w:rFonts w:ascii="仿宋_GB2312" w:hAnsi="仿宋_GB2312" w:cs="仿宋_GB2312" w:eastAsia="仿宋_GB2312"/>
                <w:sz w:val="18"/>
                <w:color w:val="333333"/>
              </w:rPr>
              <w:t>：</w:t>
            </w:r>
            <w:r>
              <w:rPr>
                <w:rFonts w:ascii="仿宋_GB2312" w:hAnsi="仿宋_GB2312" w:cs="仿宋_GB2312" w:eastAsia="仿宋_GB2312"/>
                <w:sz w:val="18"/>
                <w:color w:val="333333"/>
              </w:rPr>
              <w:t>1、防治效果：综合防治效果达到90%以上； 2、投标人在填报投标报价时应综合考虑以下各类价格组成内容，包括但不限于人工费、设备费（主材及辅材）、保险、利润、规费、税金、专用工具使用费等与之相关的一切直接费、间接费； 3、乙方须严格按照采购内容及甲方要求进行防治作业，并接受甲方的技术指导和监督。防治过程中要严格参照国家林业和草原局《病虫防治技术方案》（2024 年版）相关规定执行，统一技术标准，确保防治实效。</w:t>
            </w:r>
          </w:p>
          <w:p>
            <w:pPr>
              <w:pStyle w:val="null3"/>
              <w:jc w:val="both"/>
            </w:pPr>
            <w:r>
              <w:rPr>
                <w:rFonts w:ascii="仿宋_GB2312" w:hAnsi="仿宋_GB2312" w:cs="仿宋_GB2312" w:eastAsia="仿宋_GB2312"/>
                <w:sz w:val="21"/>
                <w:b/>
              </w:rPr>
              <w:t>注：因系统原因，生成PDF版本竞争性磋商文件用药方案中有特殊符号，请各供应商以word版本竞争性磋商文件为准。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 ，采购人确认成交供应商完成监测及防治服务50%的情况下</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在采购人确认成交供应商完成全部监测及防治服务的情况下，经双方验收合格后 ，并经区级财政部门资金审核后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在采购人确认成交供应商完成全部监测及防治服务的情况下，经双方复验综合防治效果达到90%以上后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在采购人确认成交供应商完成全部监测及防治服务的情况下，在监测及防治服务期满一年后，经双方二次复验综合防治效果达到90%以上后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w:t>
            </w:r>
          </w:p>
        </w:tc>
        <w:tc>
          <w:tcPr>
            <w:tcW w:type="dxa" w:w="3322"/>
          </w:tcPr>
          <w:p>
            <w:pPr>
              <w:pStyle w:val="null3"/>
            </w:pPr>
            <w:r>
              <w:rPr>
                <w:rFonts w:ascii="仿宋_GB2312" w:hAnsi="仿宋_GB2312" w:cs="仿宋_GB2312" w:eastAsia="仿宋_GB2312"/>
              </w:rPr>
              <w:t>提供响应文件递交截止时间前6个月内任意1个月已缴存的任意时段的社会保障资金缴存单据或社保机构开具的社会保险参保缴费情况证明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提供响应文件递交截止时间前6个月内任意1个月已缴纳完税凭证（任意税种）或税务机关开具的完税证明（任意税种）</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供应商提供2023或2024年任意一年的财务审计报告(成立时间至提交响应文件截止时间不足1年的可提供成立后任意时段的资产负债表)，或其基本存款账户开户银行出具的资信或资金证明(复印件加盖供应商公章)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在“信用中国”网站（www.creditchina.gov.cn）中列入失信被执行人和重大税收违法失信主体名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具有履行合同所必需的设备和专业技术能力承诺</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供应商须具备林业有害生物防治丁级及以上资质证书及《民用无人驾驶航空器运营合格证》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标的清单 供应商应提交的相关资格证明材料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针对本项目的总体服务方案，包括但不限于①项目需求理解；②服务计划；③作业进度；④作业质量；⑤重点部位作业方法；⑥防治作业专业技术力量。 二、赋分标准(满分18分) 整体服务方案内容完善、全面合理、架构完整、层次清楚、具有针对性和可实施性，得18分，缺失1项扣3分。每项中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人员配备方案1</w:t>
            </w:r>
          </w:p>
        </w:tc>
        <w:tc>
          <w:tcPr>
            <w:tcW w:type="dxa" w:w="2492"/>
          </w:tcPr>
          <w:p>
            <w:pPr>
              <w:pStyle w:val="null3"/>
            </w:pPr>
            <w:r>
              <w:rPr>
                <w:rFonts w:ascii="仿宋_GB2312" w:hAnsi="仿宋_GB2312" w:cs="仿宋_GB2312" w:eastAsia="仿宋_GB2312"/>
              </w:rPr>
              <w:t>一、配备方案包括但不限于①人员数量、分工、从业经验等；②岗位配备及职责；③人员培训（岗前培训、安全培训、定期培训）。 二、赋分标准：（满分9分） 方案内容完善、全面合理、架构完整、层次清楚、具有针对性和可实施性，得9分，缺失1项扣3分。每项中有一处不合理(不合理是指: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人员配备方案2</w:t>
            </w:r>
          </w:p>
        </w:tc>
        <w:tc>
          <w:tcPr>
            <w:tcW w:type="dxa" w:w="2492"/>
          </w:tcPr>
          <w:p>
            <w:pPr>
              <w:pStyle w:val="null3"/>
            </w:pPr>
            <w:r>
              <w:rPr>
                <w:rFonts w:ascii="仿宋_GB2312" w:hAnsi="仿宋_GB2312" w:cs="仿宋_GB2312" w:eastAsia="仿宋_GB2312"/>
              </w:rPr>
              <w:t>具备植保无人机系统操作手合格证的飞手不少于3人，(以植保无人机系统操作手合格证为准)每增加一人得1分，最高得3分。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一、评审内容: 针对本项目需求提供喷防器械、药剂、材料、工具等配置方案（包括物料配置清单、使用功能等内容）。 二、赋分标准(5分): 整体方案内容完善、全面合理、架构完整、层次清楚、具有针对性和可实施性，得5分，每有一处不合理(不合理是指:设备不符合服务技术要求相关内容、内容错误、描述有歧义、逻辑有漏洞、表述不清)的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针对本项目制定的质量保障方案，包括但不限于①服务质量保障体系；②药剂用量使用标准；③药剂符合国家标准，证明材料充足；④防治效果质量保障；⑤技术组织保障措施；⑥后期补防措施。 二、赋分标准(18分): 整体方案内容完善、全面合理、架构完整、层次清楚、具有针对性和可实施性，得18分，缺失1项扣3分。每项中有一处不合理(不合理是指:质量保障措施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针对本项目制定的应急方案，包括但不限于①在作业过程中出现突发问题的应急处置方案;②应急响应时间:③出现突发状况应急人员安排。 二、赋分标准(9分): 整体方案内容完善、全面合理、架构完整、层次清楚、具有针对性和可实施性，得9分，缺失1项扣3分。每项中有一处不合理(不合理是指:应急预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 供应商针对本项目制定的安全保障方案，包括但不限于①在作业过程中人员安全保障措施;②作业环境安全防范;③药剂使用安全保障。 二、赋分标准(9分): 整体方案内容完善、全面合理、架构完整、层次清楚、具有针对性和可实施性，得9分，缺失1项扣3分。每项中有一处不合理(不合理是指:保障措施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针对本项目的服务承诺包括但不限于：①防治效果的检验②出现特殊情况的后期补防③项目交付后出现缺陷的响应时间及措施。 二、赋分标准(9分): 承诺内容完善、全面合理、架构完整、层次清楚、具有针对性和可实施性，得9分，缺失1项扣3分。每项中有一处不合理(不合理是指:承诺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提供2022年1月1日至响应文件递交截止日前已完成的类似业绩（类似业绩包含林业、农业等防治作业，提供合同复印件加盖公章，时间以合同签订日期为准）。每提供一份计2分，满分10分。不提供不得分。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 即满足磋商文件要求且最终报价最低的磋商评审价为磋商基准价， 其价格分为满分。其他供应商的价格分统一按照下列公式计算： 有效 报价得分=（磋商基准价/磋商评审 价） ×价格权值×100 备注：磋商评审价=最后磋商报价×（1-磋商报价折扣幅度）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