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版本号：[采]字T202502420250820001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铜川市印台区国民经济和社会发展第十五个五年规划纲要编制服务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[采]字T2025024</w:t>
      </w:r>
      <w:r>
        <w:br/>
      </w:r>
      <w:r>
        <w:br/>
      </w:r>
      <w:r>
        <w:br/>
      </w:r>
    </w:p>
    <w:p>
      <w:pPr>
        <w:pStyle w:val="null3"/>
        <w:jc w:val="center"/>
        <w:outlineLvl w:val="2"/>
      </w:pPr>
      <w:r>
        <w:rPr>
          <w:rFonts w:ascii="仿宋_GB2312" w:hAnsi="仿宋_GB2312" w:cs="仿宋_GB2312" w:eastAsia="仿宋_GB2312"/>
          <w:sz w:val="28"/>
          <w:b/>
        </w:rPr>
        <w:t>铜川市印台区发展和改革局</w:t>
      </w:r>
    </w:p>
    <w:p>
      <w:pPr>
        <w:pStyle w:val="null3"/>
        <w:jc w:val="center"/>
        <w:outlineLvl w:val="2"/>
      </w:pPr>
      <w:r>
        <w:rPr>
          <w:rFonts w:ascii="仿宋_GB2312" w:hAnsi="仿宋_GB2312" w:cs="仿宋_GB2312" w:eastAsia="仿宋_GB2312"/>
          <w:sz w:val="28"/>
          <w:b/>
        </w:rPr>
        <w:t>融科匠业工程咨询有限公司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融科匠业工程咨询有限公司</w:t>
      </w:r>
      <w:r>
        <w:rPr>
          <w:rFonts w:ascii="仿宋_GB2312" w:hAnsi="仿宋_GB2312" w:cs="仿宋_GB2312" w:eastAsia="仿宋_GB2312"/>
        </w:rPr>
        <w:t>（以下简称“代理机构”）受</w:t>
      </w:r>
      <w:r>
        <w:rPr>
          <w:rFonts w:ascii="仿宋_GB2312" w:hAnsi="仿宋_GB2312" w:cs="仿宋_GB2312" w:eastAsia="仿宋_GB2312"/>
        </w:rPr>
        <w:t>铜川市印台区发展和改革局</w:t>
      </w:r>
      <w:r>
        <w:rPr>
          <w:rFonts w:ascii="仿宋_GB2312" w:hAnsi="仿宋_GB2312" w:cs="仿宋_GB2312" w:eastAsia="仿宋_GB2312"/>
        </w:rPr>
        <w:t>委托，拟对</w:t>
      </w:r>
      <w:r>
        <w:rPr>
          <w:rFonts w:ascii="仿宋_GB2312" w:hAnsi="仿宋_GB2312" w:cs="仿宋_GB2312" w:eastAsia="仿宋_GB2312"/>
        </w:rPr>
        <w:t>铜川市印台区国民经济和社会发展第十五个五年规划纲要编制服务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[采]字T2025024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铜川市印台区国民经济和社会发展第十五个五年规划纲要编制服务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按照国家以及省、市关于“十五五”规划编制技术要求及工作安排，科学编制铜川市印台区国民经济和社会发展第十五个五年规划《纲要》。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采购包1（铜川市印台区国民经济和社会发展第十五个五年规划纲要编制服务）：属于专门面向中小企业采购。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2、履行合同技术能力的承诺：提供具有履行合同所必需的设备和专业技术能力的承诺；</w:t>
      </w:r>
    </w:p>
    <w:p>
      <w:pPr>
        <w:pStyle w:val="null3"/>
      </w:pPr>
      <w:r>
        <w:rPr>
          <w:rFonts w:ascii="仿宋_GB2312" w:hAnsi="仿宋_GB2312" w:cs="仿宋_GB2312" w:eastAsia="仿宋_GB2312"/>
        </w:rPr>
        <w:t>3、税收缴纳证明：提供磋商截止日前一年内已缴纳的至少三个月的纳税证明或完税证明，依法免税的单位应提供相关证明材料；</w:t>
      </w:r>
    </w:p>
    <w:p>
      <w:pPr>
        <w:pStyle w:val="null3"/>
      </w:pPr>
      <w:r>
        <w:rPr>
          <w:rFonts w:ascii="仿宋_GB2312" w:hAnsi="仿宋_GB2312" w:cs="仿宋_GB2312" w:eastAsia="仿宋_GB2312"/>
        </w:rPr>
        <w:t>4、社会保障资金缴纳证明：提供磋商截止日前一年内已缴存的至少三个月的社会保障资金缴存单据或社保机构开具的社会保险参保缴费情况证明，依法不需要缴纳社会保障资金的单位应提供相关证明材料；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5、无重大违法记录声明：参加政府采购活动前3年内，在经营活动中没有重大违法记录的书面声明；</w:t>
      </w:r>
    </w:p>
    <w:p>
      <w:pPr>
        <w:pStyle w:val="null3"/>
      </w:pPr>
      <w:r>
        <w:rPr>
          <w:rFonts w:ascii="仿宋_GB2312" w:hAnsi="仿宋_GB2312" w:cs="仿宋_GB2312" w:eastAsia="仿宋_GB2312"/>
        </w:rPr>
        <w:t>6、法人身份证明或授权书：法定代表人参加的，须提供法定代表人身份证明及本人身份证复印件；法定代表人授权他人参加的，须提供法定代表人委托授权书、被授权代表的身份证复印件；</w:t>
      </w:r>
    </w:p>
    <w:p>
      <w:pPr>
        <w:pStyle w:val="null3"/>
      </w:pPr>
      <w:r>
        <w:rPr>
          <w:rFonts w:ascii="仿宋_GB2312" w:hAnsi="仿宋_GB2312" w:cs="仿宋_GB2312" w:eastAsia="仿宋_GB2312"/>
        </w:rPr>
        <w:t>7、信用记录审查：供应商不得为“信用中国”网站（www.creditchina.gov.cn）中列入失信被执行人和重大税收违法案件当事人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pPr>
        <w:pStyle w:val="null3"/>
      </w:pPr>
      <w:r>
        <w:rPr>
          <w:rFonts w:ascii="仿宋_GB2312" w:hAnsi="仿宋_GB2312" w:cs="仿宋_GB2312" w:eastAsia="仿宋_GB2312"/>
        </w:rPr>
        <w:t>8、本项目不接受联合体投标：本项目不接受联合体投标（供应商须提供书面承诺，加盖供应商公章）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铜川市印台区发展和改革局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铜川市印台区同官路80号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铜川市印台区发展和改革局经办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0919-4180106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融科匠业工程咨询有限公司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陕西省西安市经济技术开发区凤城十路智慧国际中心A座2309室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曾庆芮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18049195349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及国家发改委2011年颁布的《国家发展改革委关于降低部分建设项目收费标准规范收费行为等有关问题的通知》（发改价格[2011]534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铜川市印台区发展和改革局</w:t>
      </w:r>
      <w:r>
        <w:rPr>
          <w:rFonts w:ascii="仿宋_GB2312" w:hAnsi="仿宋_GB2312" w:cs="仿宋_GB2312" w:eastAsia="仿宋_GB2312"/>
        </w:rPr>
        <w:t>和</w:t>
      </w:r>
      <w:r>
        <w:rPr>
          <w:rFonts w:ascii="仿宋_GB2312" w:hAnsi="仿宋_GB2312" w:cs="仿宋_GB2312" w:eastAsia="仿宋_GB2312"/>
        </w:rPr>
        <w:t>融科匠业工程咨询有限公司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铜川市印台区发展和改革局</w:t>
      </w:r>
      <w:r>
        <w:rPr>
          <w:rFonts w:ascii="仿宋_GB2312" w:hAnsi="仿宋_GB2312" w:cs="仿宋_GB2312" w:eastAsia="仿宋_GB2312"/>
        </w:rPr>
        <w:t>负责解释。除上述磋商文件内容，其他内容由</w:t>
      </w:r>
      <w:r>
        <w:rPr>
          <w:rFonts w:ascii="仿宋_GB2312" w:hAnsi="仿宋_GB2312" w:cs="仿宋_GB2312" w:eastAsia="仿宋_GB2312"/>
        </w:rPr>
        <w:t>融科匠业工程咨询有限公司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铜川市印台区发展和改革局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融科匠业工程咨询有限公司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交付标准和方法：严格按照《财政部关于进一步加强政府采购需求和履约验收管理的指导意见》（财库（2016）205号）、《政府采购需求管理办法》（财库（2021）22号）的要求、采购文件规定的要求和响应文件及合同承诺的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联系人：曾庆芮</w:t>
      </w:r>
    </w:p>
    <w:p>
      <w:pPr>
        <w:pStyle w:val="null3"/>
      </w:pPr>
      <w:r>
        <w:rPr>
          <w:rFonts w:ascii="仿宋_GB2312" w:hAnsi="仿宋_GB2312" w:cs="仿宋_GB2312" w:eastAsia="仿宋_GB2312"/>
        </w:rPr>
        <w:t>联系电话：18049195349</w:t>
      </w:r>
    </w:p>
    <w:p>
      <w:pPr>
        <w:pStyle w:val="null3"/>
      </w:pPr>
      <w:r>
        <w:rPr>
          <w:rFonts w:ascii="仿宋_GB2312" w:hAnsi="仿宋_GB2312" w:cs="仿宋_GB2312" w:eastAsia="仿宋_GB2312"/>
        </w:rPr>
        <w:t>地址：陕西省西安市经济技术开发区凤城十路智慧国际中心A座2309室</w:t>
      </w:r>
    </w:p>
    <w:p>
      <w:pPr>
        <w:pStyle w:val="null3"/>
      </w:pPr>
      <w:r>
        <w:rPr>
          <w:rFonts w:ascii="仿宋_GB2312" w:hAnsi="仿宋_GB2312" w:cs="仿宋_GB2312" w:eastAsia="仿宋_GB2312"/>
        </w:rPr>
        <w:t>邮编：710019</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按照国家以及省、市关于“十五五”规划编制技术要求及工作安排，科学编制铜川市印台区国民经济和社会发展第十五个五年规划《纲要》。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740,000.00</w:t>
      </w:r>
    </w:p>
    <w:p>
      <w:pPr>
        <w:pStyle w:val="null3"/>
      </w:pPr>
      <w:r>
        <w:rPr>
          <w:rFonts w:ascii="仿宋_GB2312" w:hAnsi="仿宋_GB2312" w:cs="仿宋_GB2312" w:eastAsia="仿宋_GB2312"/>
        </w:rPr>
        <w:t>采购包最高限价（元）: 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第十五个五年规划编制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标的名称：第十五个五年规划编制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1、服务内容</w:t>
            </w:r>
          </w:p>
          <w:p>
            <w:pPr>
              <w:pStyle w:val="null3"/>
              <w:ind w:firstLine="480"/>
              <w:jc w:val="left"/>
            </w:pPr>
            <w:r>
              <w:rPr>
                <w:rFonts w:ascii="仿宋_GB2312" w:hAnsi="仿宋_GB2312" w:cs="仿宋_GB2312" w:eastAsia="仿宋_GB2312"/>
                <w:sz w:val="21"/>
              </w:rPr>
              <w:t>供应商需在服务期限内，按照采购人要求的时间节点和主题内容，编制铜川市印台区国民经济和社会发展第十五个五年</w:t>
            </w:r>
            <w:r>
              <w:rPr>
                <w:rFonts w:ascii="仿宋_GB2312" w:hAnsi="仿宋_GB2312" w:cs="仿宋_GB2312" w:eastAsia="仿宋_GB2312"/>
                <w:sz w:val="21"/>
              </w:rPr>
              <w:t>规划《纲要》</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铜川市印台区国民经济和社会发展第十五个五年规划《纲要》</w:t>
            </w:r>
            <w:r>
              <w:rPr>
                <w:rFonts w:ascii="仿宋_GB2312" w:hAnsi="仿宋_GB2312" w:cs="仿宋_GB2312" w:eastAsia="仿宋_GB2312"/>
                <w:sz w:val="21"/>
              </w:rPr>
              <w:t>是以国民经济和社会发展为对象编制的综合性和纲领性规划，是编制专项规划以及制定年度计划和各项政策的依据。规划编制应全面总结</w:t>
            </w:r>
            <w:r>
              <w:rPr>
                <w:rFonts w:ascii="仿宋_GB2312" w:hAnsi="仿宋_GB2312" w:cs="仿宋_GB2312" w:eastAsia="仿宋_GB2312"/>
                <w:sz w:val="21"/>
              </w:rPr>
              <w:t>铜川市印台区</w:t>
            </w:r>
            <w:r>
              <w:rPr>
                <w:rFonts w:ascii="仿宋_GB2312" w:hAnsi="仿宋_GB2312" w:cs="仿宋_GB2312" w:eastAsia="仿宋_GB2312"/>
                <w:sz w:val="21"/>
              </w:rPr>
              <w:t>“十四五”时期经济社会发展的成效和经验，深入分析“十五五”时期面临的形势和挑战，明确发展的指导思想、基本原则、主要目标、重点任务和保障措施等。</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2）规划内容包括但不限于以下方面：发展基础调研、发展环境梳理、指导思想把握、主要目标设定、发展布局规划、重大项目安排、重点任务策划等。</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3）供应商提交具体编制内容包括但不限于以下方面：发展基础与面临形势、发展思路与总体要求、主要任务与重点项目、空间布局、发展路径、保障措施等。规划期限为2026—2030年。</w:t>
            </w:r>
          </w:p>
          <w:p>
            <w:pPr>
              <w:pStyle w:val="null3"/>
              <w:jc w:val="left"/>
            </w:pPr>
            <w:r>
              <w:rPr>
                <w:rFonts w:ascii="仿宋_GB2312" w:hAnsi="仿宋_GB2312" w:cs="仿宋_GB2312" w:eastAsia="仿宋_GB2312"/>
                <w:sz w:val="21"/>
                <w:b/>
              </w:rPr>
              <w:t>2、服务要求</w:t>
            </w:r>
          </w:p>
          <w:p>
            <w:pPr>
              <w:pStyle w:val="null3"/>
              <w:ind w:firstLine="480"/>
              <w:jc w:val="left"/>
            </w:pPr>
            <w:r>
              <w:rPr>
                <w:rFonts w:ascii="仿宋_GB2312" w:hAnsi="仿宋_GB2312" w:cs="仿宋_GB2312" w:eastAsia="仿宋_GB2312"/>
                <w:sz w:val="21"/>
              </w:rPr>
              <w:t>1.编制内容要求</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1）供应商须明确提出其工作模式和成果提交的时间节点安排。</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2）遵循下级规划服从上级规划原则，与国家、省市发展规划相衔接。</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3）按照“多规融合”要求，与国土空间规划进行统筹、融合。</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4）遵循各版块内容相协调的原则，对各产业规划、专项规划进行统筹、协调。</w:t>
            </w:r>
          </w:p>
          <w:p>
            <w:pPr>
              <w:pStyle w:val="null3"/>
              <w:ind w:firstLine="480"/>
              <w:jc w:val="left"/>
            </w:pPr>
            <w:r>
              <w:rPr>
                <w:rFonts w:ascii="仿宋_GB2312" w:hAnsi="仿宋_GB2312" w:cs="仿宋_GB2312" w:eastAsia="仿宋_GB2312"/>
                <w:sz w:val="21"/>
              </w:rPr>
              <w:t>2.项目实施要求</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1）人员配置方面，供应商须成立专门的人员团队，明确岗位职责。</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2）根据相关标准、规范及采购人的服务要求，保质保量完成工作。</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3）供应商须建立严格的保密制度，并加强对工作人员的保密管理及保密知识教育。</w:t>
            </w:r>
          </w:p>
          <w:p>
            <w:pPr>
              <w:pStyle w:val="null3"/>
              <w:jc w:val="left"/>
            </w:pPr>
            <w:r>
              <w:rPr>
                <w:rFonts w:ascii="仿宋_GB2312" w:hAnsi="仿宋_GB2312" w:cs="仿宋_GB2312" w:eastAsia="仿宋_GB2312"/>
                <w:sz w:val="21"/>
                <w:b/>
              </w:rPr>
              <w:t>3、工作进度要求</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1）供应商应于合同签订后7天内进场开展工作。协助采购人15天内完成基础调查、信息收集等，就“十四五”规划实施情况进行系统梳理与全面评估。</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2）供应商应于完成“十四五”规划实施情况系统梳理与全面评估后30天内，围绕“十五五”主要目标指标、重大战略任务、重大改革举措、重大工程项目等，完成</w:t>
            </w:r>
            <w:r>
              <w:rPr>
                <w:rFonts w:ascii="仿宋_GB2312" w:hAnsi="仿宋_GB2312" w:cs="仿宋_GB2312" w:eastAsia="仿宋_GB2312"/>
                <w:sz w:val="21"/>
              </w:rPr>
              <w:t>铜川市印台区</w:t>
            </w:r>
            <w:r>
              <w:rPr>
                <w:rFonts w:ascii="仿宋_GB2312" w:hAnsi="仿宋_GB2312" w:cs="仿宋_GB2312" w:eastAsia="仿宋_GB2312"/>
                <w:sz w:val="21"/>
              </w:rPr>
              <w:t>“十五五”规划《纲要》框架，提交采购方审查。</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3）供应商应于“十五五”规划《纲要》框架审核通过后60天内，研究起草形成</w:t>
            </w:r>
            <w:r>
              <w:rPr>
                <w:rFonts w:ascii="仿宋_GB2312" w:hAnsi="仿宋_GB2312" w:cs="仿宋_GB2312" w:eastAsia="仿宋_GB2312"/>
                <w:sz w:val="21"/>
              </w:rPr>
              <w:t>铜川市印台区</w:t>
            </w:r>
            <w:r>
              <w:rPr>
                <w:rFonts w:ascii="仿宋_GB2312" w:hAnsi="仿宋_GB2312" w:cs="仿宋_GB2312" w:eastAsia="仿宋_GB2312"/>
                <w:sz w:val="21"/>
              </w:rPr>
              <w:t>“十五五”规划《纲要（草案）》初稿。</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4）供应商应按采购人要求持续修改完善“十五五”规划《纲要（草案）》，并与国家、省市发展规划相衔接。于《纲要（草案）》初稿提交后60天内修改完善向采购人提交《铜川市印台区国民经济和社会发展第十五个五年</w:t>
            </w:r>
            <w:r>
              <w:rPr>
                <w:rFonts w:ascii="仿宋_GB2312" w:hAnsi="仿宋_GB2312" w:cs="仿宋_GB2312" w:eastAsia="仿宋_GB2312"/>
                <w:sz w:val="21"/>
              </w:rPr>
              <w:t>规划《纲要》</w:t>
            </w:r>
            <w:r>
              <w:rPr>
                <w:rFonts w:ascii="仿宋_GB2312" w:hAnsi="仿宋_GB2312" w:cs="仿宋_GB2312" w:eastAsia="仿宋_GB2312"/>
                <w:sz w:val="21"/>
              </w:rPr>
              <w:t>（</w:t>
            </w:r>
            <w:r>
              <w:rPr>
                <w:rFonts w:ascii="仿宋_GB2312" w:hAnsi="仿宋_GB2312" w:cs="仿宋_GB2312" w:eastAsia="仿宋_GB2312"/>
                <w:sz w:val="21"/>
              </w:rPr>
              <w:t>审议</w:t>
            </w:r>
            <w:r>
              <w:rPr>
                <w:rFonts w:ascii="仿宋_GB2312" w:hAnsi="仿宋_GB2312" w:cs="仿宋_GB2312" w:eastAsia="仿宋_GB2312"/>
                <w:sz w:val="21"/>
              </w:rPr>
              <w:t>稿）》</w:t>
            </w:r>
            <w:r>
              <w:rPr>
                <w:rFonts w:ascii="仿宋_GB2312" w:hAnsi="仿宋_GB2312" w:cs="仿宋_GB2312" w:eastAsia="仿宋_GB2312"/>
                <w:sz w:val="21"/>
              </w:rPr>
              <w:t>并按程序</w:t>
            </w:r>
            <w:r>
              <w:rPr>
                <w:rFonts w:ascii="仿宋_GB2312" w:hAnsi="仿宋_GB2312" w:cs="仿宋_GB2312" w:eastAsia="仿宋_GB2312"/>
                <w:sz w:val="21"/>
              </w:rPr>
              <w:t>通过</w:t>
            </w:r>
            <w:r>
              <w:rPr>
                <w:rFonts w:ascii="仿宋_GB2312" w:hAnsi="仿宋_GB2312" w:cs="仿宋_GB2312" w:eastAsia="仿宋_GB2312"/>
                <w:sz w:val="21"/>
              </w:rPr>
              <w:t>相关会议审议</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5）编制期间，供应商应及时向采购人汇报</w:t>
            </w:r>
            <w:r>
              <w:rPr>
                <w:rFonts w:ascii="仿宋_GB2312" w:hAnsi="仿宋_GB2312" w:cs="仿宋_GB2312" w:eastAsia="仿宋_GB2312"/>
                <w:sz w:val="21"/>
              </w:rPr>
              <w:t>规划《纲要》</w:t>
            </w:r>
            <w:r>
              <w:rPr>
                <w:rFonts w:ascii="仿宋_GB2312" w:hAnsi="仿宋_GB2312" w:cs="仿宋_GB2312" w:eastAsia="仿宋_GB2312"/>
                <w:sz w:val="21"/>
              </w:rPr>
              <w:t>进展情况。</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自合同签订之日起10个月内交付成果文件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最终成果符合国家、省、市现行相关规范标准。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，在完成并提交“十五五”规划《纲要》总体思路与框架，并经甲方验收合格后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在完成并提交“十五五”规划《纲要（审议稿）》，并通过甲方验收合格后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在完成并提交“十五五”规划《纲要》，按程序通过相关会议审议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①甲乙双方必须遵守合同并执行合同中的各项规定，保证本项目合同的正常履行。②如因乙方工作人员在履行职务过程中的的疏忽、失职、过错等故意或者过失原因给甲方造成损失或侵害，包括但不限于甲方本身的财产损失、由此而导致的甲方对任何第三方的法律责任等，乙方对此均应承担全部的赔偿责任。（2）解决争议的方法：①在执行本合同中发生的或与本合同有关的争端，双方应通过友好协商解决，经协商解决不成的，应提交采购人所在地仲裁委员会仲裁。②仲裁裁决为最终决定，并对双方具有约束力。③除另有裁决外，仲裁费由败诉方负担。④在裁期间，除正在进行仲裁部分外，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的财务报告（成立时间至响应文件递交截止时间不足一年的可提供成立后任意时段的资产负债表），或提供响应文件递交截止日前三个月内基本存款账户开户银行出具的资信证明文件及基本存款账户开户许可证（无基本存款账户开户许可证可提供其基本存款账户信息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履行合同技术能力的承诺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法人身份证明或授权书</w:t>
            </w:r>
          </w:p>
        </w:tc>
        <w:tc>
          <w:tcPr>
            <w:tcW w:type="dxa" w:w="3322"/>
          </w:tcPr>
          <w:p>
            <w:pPr>
              <w:pStyle w:val="null3"/>
            </w:pPr>
            <w:r>
              <w:rPr>
                <w:rFonts w:ascii="仿宋_GB2312" w:hAnsi="仿宋_GB2312" w:cs="仿宋_GB2312" w:eastAsia="仿宋_GB2312"/>
              </w:rPr>
              <w:t>法定代表人参加的，须提供法定代表人身份证明及本人身份证复印件；法定代表人授权他人参加的，须提供法定代表人委托授权书、被授权代表的身份证复印件；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本项目不接受联合体投标（供应商须提供书面承诺，加盖供应商公章）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磋商响应文件项目名称、 项目编号</w:t>
            </w:r>
          </w:p>
        </w:tc>
        <w:tc>
          <w:tcPr>
            <w:tcW w:type="dxa" w:w="3322"/>
          </w:tcPr>
          <w:p>
            <w:pPr>
              <w:pStyle w:val="null3"/>
            </w:pPr>
            <w:r>
              <w:rPr>
                <w:rFonts w:ascii="仿宋_GB2312" w:hAnsi="仿宋_GB2312" w:cs="仿宋_GB2312" w:eastAsia="仿宋_GB2312"/>
              </w:rPr>
              <w:t>磋商响应文件项目名称、项目编号无遗漏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符合磋商文件要求，自磋商响应文件递交之日起不少于 90 个日历天</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与磋商内容一致，无重大偏离，无缺项漏项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报价唯一且未超出采购金额</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磋商响应文件签字盖章须合格、有效、无缺漏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响应磋商文件其他内容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对项目的理解和认识</w:t>
            </w:r>
          </w:p>
        </w:tc>
        <w:tc>
          <w:tcPr>
            <w:tcW w:type="dxa" w:w="2492"/>
          </w:tcPr>
          <w:p>
            <w:pPr>
              <w:pStyle w:val="null3"/>
            </w:pPr>
            <w:r>
              <w:rPr>
                <w:rFonts w:ascii="仿宋_GB2312" w:hAnsi="仿宋_GB2312" w:cs="仿宋_GB2312" w:eastAsia="仿宋_GB2312"/>
              </w:rPr>
              <w:t>供应商根据本项目采购需求编制针对本项目理解及认识方案，对本项目背景、政策解读与理解的深度、全面性、针对性及准确性；对现状情况收集与分析的全面性及准确性： （1）项目认知层次清晰、针对性强、与采购内容的吻合程度高的，得10-14分； （2）项目认知逻辑层次较清晰、针对性较强、与采购内容的吻合程度一般，内容较简单的，得6-10分； （3）项目认知层次不清晰、不全面，得0-6分； （4）未提供的不得分。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对项目的理解和认识.docx</w:t>
            </w:r>
          </w:p>
        </w:tc>
      </w:tr>
      <w:tr>
        <w:tc>
          <w:tcPr>
            <w:tcW w:type="dxa" w:w="831"/>
            <w:vMerge/>
          </w:tcPr>
          <w:p/>
        </w:tc>
        <w:tc>
          <w:tcPr>
            <w:tcW w:type="dxa" w:w="1661"/>
          </w:tcPr>
          <w:p>
            <w:pPr>
              <w:pStyle w:val="null3"/>
            </w:pPr>
            <w:r>
              <w:rPr>
                <w:rFonts w:ascii="仿宋_GB2312" w:hAnsi="仿宋_GB2312" w:cs="仿宋_GB2312" w:eastAsia="仿宋_GB2312"/>
              </w:rPr>
              <w:t>项目整体方案</w:t>
            </w:r>
          </w:p>
        </w:tc>
        <w:tc>
          <w:tcPr>
            <w:tcW w:type="dxa" w:w="2492"/>
          </w:tcPr>
          <w:p>
            <w:pPr>
              <w:pStyle w:val="null3"/>
            </w:pPr>
            <w:r>
              <w:rPr>
                <w:rFonts w:ascii="仿宋_GB2312" w:hAnsi="仿宋_GB2312" w:cs="仿宋_GB2312" w:eastAsia="仿宋_GB2312"/>
              </w:rPr>
              <w:t>供应商根据本项目采购需求编制针对性项目整体方案，内容包含： ①基本思路研究和纲要编制框架，对项目的理解把握，具有合理性、 可操作性和前瞻性；②方案涵盖的基本思路，调研方法科学成熟，符合项目服务要求；③基本思路和纲要的实施路径具有可执行性和前瞻性，能围绕主要方向制定重点任务。以上内容完整、不存在缺项漏项，得 15 分；每缺一项扣 5 分，每一项存在不足的扣0.1-4.9 分。（本项所指“不足 ”是指内容不完整或缺少关键点；非专门针对本项目或不适用本项目特性、套用其他项目方案内容；存在逻辑漏洞、科学原理或常识错误；不利于本项目实施、现有技术条件下无法实现等任意一种情形。）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项目整体方案.docx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供应商根据本项目采购需求编制针对性进度安排，是否能按照采购方要求在规定时间内完成编制成果的修改、调整、优化工作方案进行评审，内容包含：①进度保障措施；②各阶段时间节点；③各环节衔接工作的配合④临时调整措施⑤应急处理能力。以上内容完整、不存在缺项漏项，得 15 分；每缺一项扣 3 分，存在不足的扣 0.1-2.9 分。（本项所指“不足”是指内容不完整或缺少关键点；非专门针对本项目或不适用本项目特性、套用其他项目方案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项目进度安排.docx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供应商根据本项目采购需求编制针对性质量保证措施方案，有相应的保障细则，内容包含：①团队设置、②沟通机制、③进度控制、 ④质量控制、⑤及时响应等保障措施。 以上内容完整、不存在缺项 漏项，得 15 分；每缺一项扣 3 分，存在不足的扣 0.1-2.9 分。 （本项所指“不足”是指内容不完整或缺少关键点；非专门针对本项目 或不适用本项目特性、套用其他 项目方案内容；存在逻辑漏洞、科 学原理或常识错误；不利于本项目实施、现有技术条件下无法实现 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供应商根据本项目采购需求编制针对性保密措施方案，有相应的保 障细则，内容包含：①保密承诺事项；②保密实施方案；③保密工作规则要求。以上内容完整、不存在缺项漏项，得 6 分；每缺一项 扣 2 分，存在不足的扣 0.1-1.9 分。（本项所指“不足”是指内容不完整或缺少关键点；非专门针对本项目或不适用本项目特性、套用其他项目方案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近五年（2021年12月01日至今）来已完成类似项目业绩，每提供1个类似业绩证明材料得1分，最多得 10 分。未提供不得分。 注：1. 业绩以投标文件中所附合同复印件为准。提供的证明材料均不得遮挡涂黑，否则不予认定加分。 2. 业绩须提供相关的合同，至少包含关键页：签订合同双方的单位名称、合同项目名称、签订合同方的落款盖章、签订日期的关键页)复印件加盖公章，业绩时间以合同签订时间为准)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根据投标人拟任本项目的人员配置情况进行评审： 1.项目负责人（1人）：项目负责人具有具备高级职称的得 2 分，中级职称得 1 分；承担过类似规划编制项目的得 2 分，否则不得分。本项最多得 4 分。 2.项目组成员（项目负责人除外）：项目组成员中具有高级职称的，每 1 人得 1.5 分，具备中级职称的每 1 人得 1 分；本项最多得 6 分。 注：以上人员须提供上述相关证明材料并加盖公章。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供应商针对本项目提供完整的服务承诺，包括但不限于服务质量、 服务期限，以确保本项目顺利实施，按其响应程度计 0-5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 10 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详见附件：对项目的理解和认识.docx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详见附件：项目进度安排.docx</w:t>
      </w:r>
    </w:p>
    <w:p>
      <w:pPr>
        <w:pStyle w:val="null3"/>
        <w:ind w:firstLine="960"/>
      </w:pPr>
      <w:r>
        <w:rPr>
          <w:rFonts w:ascii="仿宋_GB2312" w:hAnsi="仿宋_GB2312" w:cs="仿宋_GB2312" w:eastAsia="仿宋_GB2312"/>
        </w:rPr>
        <w:t>详见附件：项目整体方案.docx</w:t>
      </w:r>
    </w:p>
    <w:p>
      <w:pPr>
        <w:pStyle w:val="null3"/>
        <w:ind w:firstLine="960"/>
      </w:pPr>
      <w:r>
        <w:rPr>
          <w:rFonts w:ascii="仿宋_GB2312" w:hAnsi="仿宋_GB2312" w:cs="仿宋_GB2312" w:eastAsia="仿宋_GB2312"/>
        </w:rPr>
        <w:t>详见附件：质量保证措施.docx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