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版本号：SXBH-ZFCG-2026-004.1B120260209001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铜川市印台区防返贫保险(二次)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SXBH-ZFCG-2026-004.1B1</w:t>
      </w:r>
      <w:r>
        <w:br/>
      </w:r>
      <w:r>
        <w:br/>
      </w:r>
      <w:r>
        <w:br/>
      </w:r>
    </w:p>
    <w:p>
      <w:pPr>
        <w:pStyle w:val="null3"/>
        <w:jc w:val="center"/>
        <w:outlineLvl w:val="2"/>
      </w:pPr>
      <w:r>
        <w:rPr>
          <w:rFonts w:ascii="仿宋_GB2312" w:hAnsi="仿宋_GB2312" w:cs="仿宋_GB2312" w:eastAsia="仿宋_GB2312"/>
          <w:sz w:val="28"/>
          <w:b/>
        </w:rPr>
        <w:t>铜川市印台区防返贫信息监测中心</w:t>
      </w:r>
    </w:p>
    <w:p>
      <w:pPr>
        <w:pStyle w:val="null3"/>
        <w:jc w:val="center"/>
        <w:outlineLvl w:val="2"/>
      </w:pPr>
      <w:r>
        <w:rPr>
          <w:rFonts w:ascii="仿宋_GB2312" w:hAnsi="仿宋_GB2312" w:cs="仿宋_GB2312" w:eastAsia="仿宋_GB2312"/>
          <w:sz w:val="28"/>
          <w:b/>
        </w:rPr>
        <w:t>陕西北衡全项目咨询有限公司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陕西北衡全项目咨询有限公司</w:t>
      </w:r>
      <w:r>
        <w:rPr>
          <w:rFonts w:ascii="仿宋_GB2312" w:hAnsi="仿宋_GB2312" w:cs="仿宋_GB2312" w:eastAsia="仿宋_GB2312"/>
        </w:rPr>
        <w:t>（以下简称“代理机构”）受</w:t>
      </w:r>
      <w:r>
        <w:rPr>
          <w:rFonts w:ascii="仿宋_GB2312" w:hAnsi="仿宋_GB2312" w:cs="仿宋_GB2312" w:eastAsia="仿宋_GB2312"/>
        </w:rPr>
        <w:t>铜川市印台区防返贫信息监测中心</w:t>
      </w:r>
      <w:r>
        <w:rPr>
          <w:rFonts w:ascii="仿宋_GB2312" w:hAnsi="仿宋_GB2312" w:cs="仿宋_GB2312" w:eastAsia="仿宋_GB2312"/>
        </w:rPr>
        <w:t>委托，拟对</w:t>
      </w:r>
      <w:r>
        <w:rPr>
          <w:rFonts w:ascii="仿宋_GB2312" w:hAnsi="仿宋_GB2312" w:cs="仿宋_GB2312" w:eastAsia="仿宋_GB2312"/>
        </w:rPr>
        <w:t>铜川市印台区防返贫保险(二次)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SXBH-ZFCG-2026-004.1B1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铜川市印台区防返贫保险(二次)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为全区农村脱贫不稳定户、边缘易致贫户以及因病因灾因意外事故等刚性支出较大或收入大幅缩减导致基本生活出现严重困难户，实施防返贫救助保险政策等。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分支机构参与磋商的，须附总公司（法人企业）出具的授权书（授权书可针对本项目或同类项目，在约定范围或期限内出具并允许转授权，需签章合规、授权范围明确，包含投标、签约、履约等核心权限）及总公司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p>
      <w:pPr>
        <w:pStyle w:val="null3"/>
      </w:pPr>
      <w:r>
        <w:rPr>
          <w:rFonts w:ascii="仿宋_GB2312" w:hAnsi="仿宋_GB2312" w:cs="仿宋_GB2312" w:eastAsia="仿宋_GB2312"/>
        </w:rPr>
        <w:t>2、资质证书：具有中国银行保险监督管理委员会颁发的经营保险业务许可证，具备合法开展本次采购所涉保险业务的资质；供应商需在项目电子化交易系统中按要求上传相应证明文件并进行电子签章。</w:t>
      </w:r>
    </w:p>
    <w:p>
      <w:pPr>
        <w:pStyle w:val="null3"/>
      </w:pPr>
      <w:r>
        <w:rPr>
          <w:rFonts w:ascii="仿宋_GB2312" w:hAnsi="仿宋_GB2312" w:cs="仿宋_GB2312" w:eastAsia="仿宋_GB2312"/>
        </w:rPr>
        <w:t>3、具有良好的商业信誉：须提供“中国裁判文书网（https://wenshu.court.gov.cn）” 无行贿犯罪行为记录的查询截图，并随附良好商业信誉声明函（格式自拟，需法定代表人签字并加盖单位公章）；供应商需在项目电子化交易系统中按要求上传相应证明文件并进行电子签章。</w:t>
      </w:r>
    </w:p>
    <w:p>
      <w:pPr>
        <w:pStyle w:val="null3"/>
      </w:pPr>
      <w:r>
        <w:rPr>
          <w:rFonts w:ascii="仿宋_GB2312" w:hAnsi="仿宋_GB2312" w:cs="仿宋_GB2312" w:eastAsia="仿宋_GB2312"/>
        </w:rPr>
        <w:t>4、良好的财务制度：提供近三年任一年度的经会计师事务所或审计机构审计的财务审计报告(包括审计报告、资产负债表、利润表、现金流量表、所有者权益变动表（无所有者权益变动表需提供相应的书面声明）、附注等全部内容，成立时间至提交响应文件截止时间不足一年的可提供成立后任意时段的资产负债表)和财务情况说明书，或磋商截止日前六个月内其基本存款账户开户银行出具的资信证明及基本存款账户信息，或信用担保机构出具的投标担保函；（供应商为分支机构的，使用总公司相关财务报表，需提供总公司出具的正式授权函，明确授权其参与本次采购活动并使用总公司财务报表，同时附总公司营业执照复印件、分支机构营业执照副本及分支机构经营授权文件等佐证材料，所有复印件需加盖分支机构公章）；供应商需在项目电子化交易系统中按要求上传相应证明文件并进行电子签章。</w:t>
      </w:r>
    </w:p>
    <w:p>
      <w:pPr>
        <w:pStyle w:val="null3"/>
      </w:pPr>
      <w:r>
        <w:rPr>
          <w:rFonts w:ascii="仿宋_GB2312" w:hAnsi="仿宋_GB2312" w:cs="仿宋_GB2312" w:eastAsia="仿宋_GB2312"/>
        </w:rPr>
        <w:t>5、有依法缴纳税收的良好记录：提供2025年7月1日至磋商截止日已缴纳的至少一个月的纳税证明或完税证明（提供增值税、营业税、企业所得税中的至少一种），纳税证明或完税证明上应有代收机构或税务机关的公章或业务专用章。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6、有依法缴纳社会保障资金的良好记录：提供2025年7月1日至磋商截止日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7、具有履行合同所必需的设备和专业技术能力：提供具有履行合同所必需的设备和专业技术能力的书面声明；供应商需在项目电子化交易系统中按要求上传相应证明文件并进行电子签章。</w:t>
      </w:r>
    </w:p>
    <w:p>
      <w:pPr>
        <w:pStyle w:val="null3"/>
      </w:pPr>
      <w:r>
        <w:rPr>
          <w:rFonts w:ascii="仿宋_GB2312" w:hAnsi="仿宋_GB2312" w:cs="仿宋_GB2312" w:eastAsia="仿宋_GB2312"/>
        </w:rPr>
        <w:t>8、参加本次政府采购活动前3年内在经营活动中没有重大违法记录或被起诉：提供参加本次政府采购活动前3年内在经营活动中没有重大违法记录或被起诉的书面声明；供应商需在项目电子化交易系统中按要求上传相应证明文件并进行电子签章。</w:t>
      </w:r>
    </w:p>
    <w:p>
      <w:pPr>
        <w:pStyle w:val="null3"/>
      </w:pPr>
      <w:r>
        <w:rPr>
          <w:rFonts w:ascii="仿宋_GB2312" w:hAnsi="仿宋_GB2312" w:cs="仿宋_GB2312" w:eastAsia="仿宋_GB2312"/>
        </w:rPr>
        <w:t>9、法定代表人或法定代表人授权：法定代表人（负责人）直接参加磋商的，须出具法定代表人（负责人）身份证明及身份证复印件，并与营业执照上信息一致；法定代表人（负责人）授权代表参加磋商的，须出具法定代表人（负责人）授权书及授权代表身份证复印件；供应商需在项目电子化交易系统中按要求上传相应证明文件并进行电子签章。</w:t>
      </w:r>
    </w:p>
    <w:p>
      <w:pPr>
        <w:pStyle w:val="null3"/>
      </w:pPr>
      <w:r>
        <w:rPr>
          <w:rFonts w:ascii="仿宋_GB2312" w:hAnsi="仿宋_GB2312" w:cs="仿宋_GB2312" w:eastAsia="仿宋_GB2312"/>
        </w:rPr>
        <w:t>10、无关联声明：提供单位负责人为同一人或者存在直接控股、管理关系的不同供应商，不得参加同一合同项下的政府采购活动的书面声明；供应商需在项目电子化交易系统中按要求上传相应证明文件并进行电子签章。</w:t>
      </w:r>
    </w:p>
    <w:p>
      <w:pPr>
        <w:pStyle w:val="null3"/>
      </w:pPr>
      <w:r>
        <w:rPr>
          <w:rFonts w:ascii="仿宋_GB2312" w:hAnsi="仿宋_GB2312" w:cs="仿宋_GB2312" w:eastAsia="仿宋_GB2312"/>
        </w:rPr>
        <w:t>11、非联合体磋商：提供书面《非联合体参与磋商声明函》；供应商需在项目电子化交易系统中按要求上传相应证明文件并进行电子签章。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铜川市印台区防返贫信息监测中心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铜川市老街道内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铜川市印台区防返贫信息监测中心经办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0919-4188003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陕西北衡全项目咨询有限公司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铜川市耀州区咸丰路街道丹阳国际 15 层招标部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常多多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18091953010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收费标准依据国家发改委发改价格[2011]534号文件及依据国家计委计价格[2002]1980号文件规定计取，以中标金额为计算基数，按差额定率累进法计算。本项目代理服务费由成交供应商承担，采购代理工作结束后一次性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铜川市印台区防返贫信息监测中心</w:t>
      </w:r>
      <w:r>
        <w:rPr>
          <w:rFonts w:ascii="仿宋_GB2312" w:hAnsi="仿宋_GB2312" w:cs="仿宋_GB2312" w:eastAsia="仿宋_GB2312"/>
        </w:rPr>
        <w:t>和</w:t>
      </w:r>
      <w:r>
        <w:rPr>
          <w:rFonts w:ascii="仿宋_GB2312" w:hAnsi="仿宋_GB2312" w:cs="仿宋_GB2312" w:eastAsia="仿宋_GB2312"/>
        </w:rPr>
        <w:t>陕西北衡全项目咨询有限公司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铜川市印台区防返贫信息监测中心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陕西北衡全项目咨询有限公司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铜川市印台区防返贫信息监测中心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陕西北衡全项目咨询有限公司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联系人：常多多</w:t>
      </w:r>
    </w:p>
    <w:p>
      <w:pPr>
        <w:pStyle w:val="null3"/>
      </w:pPr>
      <w:r>
        <w:rPr>
          <w:rFonts w:ascii="仿宋_GB2312" w:hAnsi="仿宋_GB2312" w:cs="仿宋_GB2312" w:eastAsia="仿宋_GB2312"/>
        </w:rPr>
        <w:t>联系电话：18091953010</w:t>
      </w:r>
    </w:p>
    <w:p>
      <w:pPr>
        <w:pStyle w:val="null3"/>
      </w:pPr>
      <w:r>
        <w:rPr>
          <w:rFonts w:ascii="仿宋_GB2312" w:hAnsi="仿宋_GB2312" w:cs="仿宋_GB2312" w:eastAsia="仿宋_GB2312"/>
        </w:rPr>
        <w:t>地址：铜川市耀州区咸丰路街道丹阳国际 15 层招标部</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为全区农村脱贫不稳定户、边缘易致贫户以及因病因灾因意外事故等刚性支出较大或收入大幅缩减导致基本生活出现严重困难户，实施防返贫救助保险政策等。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防返贫保险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标的名称：防返贫保险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一、总体目标</w:t>
            </w:r>
          </w:p>
          <w:p>
            <w:pPr>
              <w:pStyle w:val="null3"/>
              <w:jc w:val="both"/>
            </w:pPr>
            <w:r>
              <w:rPr>
                <w:rFonts w:ascii="仿宋_GB2312" w:hAnsi="仿宋_GB2312" w:cs="仿宋_GB2312" w:eastAsia="仿宋_GB2312"/>
                <w:sz w:val="21"/>
              </w:rPr>
              <w:t>政策依据：以巩固拓展脱贫攻坚成果、推进乡村振兴相关政策要求为指导，牢牢守住不发生规模性返贫底线。</w:t>
            </w:r>
          </w:p>
          <w:p>
            <w:pPr>
              <w:pStyle w:val="null3"/>
              <w:jc w:val="both"/>
            </w:pPr>
            <w:r>
              <w:rPr>
                <w:rFonts w:ascii="仿宋_GB2312" w:hAnsi="仿宋_GB2312" w:cs="仿宋_GB2312" w:eastAsia="仿宋_GB2312"/>
                <w:sz w:val="21"/>
              </w:rPr>
              <w:t>保障功能：核心具备风险保障与经济补偿双重功能，助力提升特定人群抵御灾害、抗击风险的能力。</w:t>
            </w:r>
          </w:p>
          <w:p>
            <w:pPr>
              <w:pStyle w:val="null3"/>
              <w:jc w:val="both"/>
            </w:pPr>
            <w:r>
              <w:rPr>
                <w:rFonts w:ascii="仿宋_GB2312" w:hAnsi="仿宋_GB2312" w:cs="仿宋_GB2312" w:eastAsia="仿宋_GB2312"/>
                <w:sz w:val="21"/>
              </w:rPr>
              <w:t>核心目标：坚决防止规模性返贫现象发生，持续巩固区域脱贫攻坚成果。</w:t>
            </w:r>
          </w:p>
          <w:p>
            <w:pPr>
              <w:pStyle w:val="null3"/>
              <w:jc w:val="both"/>
            </w:pPr>
            <w:r>
              <w:rPr>
                <w:rFonts w:ascii="仿宋_GB2312" w:hAnsi="仿宋_GB2312" w:cs="仿宋_GB2312" w:eastAsia="仿宋_GB2312"/>
                <w:sz w:val="21"/>
              </w:rPr>
              <w:t>二、防贫对象</w:t>
            </w:r>
          </w:p>
          <w:p>
            <w:pPr>
              <w:pStyle w:val="null3"/>
              <w:jc w:val="both"/>
            </w:pPr>
            <w:r>
              <w:rPr>
                <w:rFonts w:ascii="仿宋_GB2312" w:hAnsi="仿宋_GB2312" w:cs="仿宋_GB2312" w:eastAsia="仿宋_GB2312"/>
                <w:sz w:val="21"/>
              </w:rPr>
              <w:t>覆盖范围：聚焦农村低收入户及监测对象，具体为因病因灾、因意外事故等导致刚性支出大幅增加或收入急剧缩减，进而造成基本生活严重困难的农户。</w:t>
            </w:r>
          </w:p>
          <w:p>
            <w:pPr>
              <w:pStyle w:val="null3"/>
              <w:jc w:val="both"/>
            </w:pPr>
            <w:r>
              <w:rPr>
                <w:rFonts w:ascii="仿宋_GB2312" w:hAnsi="仿宋_GB2312" w:cs="仿宋_GB2312" w:eastAsia="仿宋_GB2312"/>
                <w:sz w:val="21"/>
              </w:rPr>
              <w:t>认定标准：以国家贫困线的</w:t>
            </w:r>
            <w:r>
              <w:rPr>
                <w:rFonts w:ascii="仿宋_GB2312" w:hAnsi="仿宋_GB2312" w:cs="仿宋_GB2312" w:eastAsia="仿宋_GB2312"/>
                <w:sz w:val="21"/>
              </w:rPr>
              <w:t>1.5</w:t>
            </w:r>
            <w:r>
              <w:rPr>
                <w:rFonts w:ascii="仿宋_GB2312" w:hAnsi="仿宋_GB2312" w:cs="仿宋_GB2312" w:eastAsia="仿宋_GB2312"/>
                <w:sz w:val="21"/>
              </w:rPr>
              <w:t>倍设定为防返贫保障线，家庭年人均纯收入不高于该保障线的农户纳入保障范围。</w:t>
            </w:r>
          </w:p>
          <w:p>
            <w:pPr>
              <w:pStyle w:val="null3"/>
              <w:jc w:val="both"/>
            </w:pPr>
            <w:r>
              <w:rPr>
                <w:rFonts w:ascii="仿宋_GB2312" w:hAnsi="仿宋_GB2312" w:cs="仿宋_GB2312" w:eastAsia="仿宋_GB2312"/>
                <w:sz w:val="21"/>
              </w:rPr>
              <w:t>认定程序：需经村</w:t>
            </w:r>
            <w:r>
              <w:rPr>
                <w:rFonts w:ascii="仿宋_GB2312" w:hAnsi="仿宋_GB2312" w:cs="仿宋_GB2312" w:eastAsia="仿宋_GB2312"/>
                <w:sz w:val="21"/>
              </w:rPr>
              <w:t>“两委”会议集体研究确定，实行动态识别机制，不事前固定对象、不预先划定范围。</w:t>
            </w:r>
          </w:p>
          <w:p>
            <w:pPr>
              <w:pStyle w:val="null3"/>
              <w:jc w:val="both"/>
            </w:pPr>
            <w:r>
              <w:rPr>
                <w:rFonts w:ascii="仿宋_GB2312" w:hAnsi="仿宋_GB2312" w:cs="仿宋_GB2312" w:eastAsia="仿宋_GB2312"/>
                <w:sz w:val="21"/>
              </w:rPr>
              <w:t>赔付限制：同一风险类型的受益农户，每年仅可享受一次赔付。其中，风险类型包含家庭主要劳动力因病丧失劳动力、家庭遭受严重自然灾害、家庭子女高等教育学费无力负担等易致贫返贫情形。</w:t>
            </w:r>
          </w:p>
          <w:p>
            <w:pPr>
              <w:pStyle w:val="null3"/>
              <w:jc w:val="both"/>
            </w:pPr>
            <w:r>
              <w:rPr>
                <w:rFonts w:ascii="仿宋_GB2312" w:hAnsi="仿宋_GB2312" w:cs="仿宋_GB2312" w:eastAsia="仿宋_GB2312"/>
                <w:sz w:val="21"/>
              </w:rPr>
              <w:t>三、承保规模</w:t>
            </w:r>
          </w:p>
          <w:p>
            <w:pPr>
              <w:pStyle w:val="null3"/>
              <w:jc w:val="both"/>
            </w:pPr>
            <w:r>
              <w:rPr>
                <w:rFonts w:ascii="仿宋_GB2312" w:hAnsi="仿宋_GB2312" w:cs="仿宋_GB2312" w:eastAsia="仿宋_GB2312"/>
                <w:sz w:val="21"/>
              </w:rPr>
              <w:t>核算基数：以区域内农村户籍人口总数作为核算基础。</w:t>
            </w:r>
          </w:p>
          <w:p>
            <w:pPr>
              <w:pStyle w:val="null3"/>
              <w:jc w:val="both"/>
            </w:pPr>
            <w:r>
              <w:rPr>
                <w:rFonts w:ascii="仿宋_GB2312" w:hAnsi="仿宋_GB2312" w:cs="仿宋_GB2312" w:eastAsia="仿宋_GB2312"/>
                <w:sz w:val="21"/>
              </w:rPr>
              <w:t>比例标准：按照农村户籍人口</w:t>
            </w:r>
            <w:r>
              <w:rPr>
                <w:rFonts w:ascii="仿宋_GB2312" w:hAnsi="仿宋_GB2312" w:cs="仿宋_GB2312" w:eastAsia="仿宋_GB2312"/>
                <w:sz w:val="21"/>
              </w:rPr>
              <w:t>10%</w:t>
            </w:r>
            <w:r>
              <w:rPr>
                <w:rFonts w:ascii="仿宋_GB2312" w:hAnsi="仿宋_GB2312" w:cs="仿宋_GB2312" w:eastAsia="仿宋_GB2312"/>
                <w:sz w:val="21"/>
              </w:rPr>
              <w:t>的比例确定承保对象规模。</w:t>
            </w:r>
          </w:p>
          <w:p>
            <w:pPr>
              <w:pStyle w:val="null3"/>
              <w:jc w:val="both"/>
            </w:pPr>
            <w:r>
              <w:rPr>
                <w:rFonts w:ascii="仿宋_GB2312" w:hAnsi="仿宋_GB2312" w:cs="仿宋_GB2312" w:eastAsia="仿宋_GB2312"/>
                <w:sz w:val="21"/>
              </w:rPr>
              <w:t>四、赔付标准</w:t>
            </w:r>
          </w:p>
          <w:p>
            <w:pPr>
              <w:pStyle w:val="null3"/>
              <w:jc w:val="both"/>
            </w:pPr>
            <w:r>
              <w:rPr>
                <w:rFonts w:ascii="仿宋_GB2312" w:hAnsi="仿宋_GB2312" w:cs="仿宋_GB2312" w:eastAsia="仿宋_GB2312"/>
                <w:sz w:val="21"/>
              </w:rPr>
              <w:t>分类制定赔付标准，明确因病致贫、因灾致贫、因学致贫及因意外等其他特殊情形的保障周期、赔付基数与赔付限额。</w:t>
            </w:r>
          </w:p>
          <w:p>
            <w:pPr>
              <w:pStyle w:val="null3"/>
              <w:jc w:val="both"/>
            </w:pPr>
            <w:r>
              <w:rPr>
                <w:rFonts w:ascii="仿宋_GB2312" w:hAnsi="仿宋_GB2312" w:cs="仿宋_GB2312" w:eastAsia="仿宋_GB2312"/>
                <w:sz w:val="21"/>
              </w:rPr>
              <w:t>五、工作要求</w:t>
            </w:r>
          </w:p>
          <w:p>
            <w:pPr>
              <w:pStyle w:val="null3"/>
              <w:jc w:val="both"/>
            </w:pPr>
            <w:r>
              <w:rPr>
                <w:rFonts w:ascii="仿宋_GB2312" w:hAnsi="仿宋_GB2312" w:cs="仿宋_GB2312" w:eastAsia="仿宋_GB2312"/>
                <w:sz w:val="21"/>
              </w:rPr>
              <w:t>一是落实专人负责制度，统筹推进脱贫攻坚成果巩固各项工作，重点聚焦致贫返贫风险防控；二是严格审核防返贫对象资格及相关佐证材料，认定过程突出精准性，严禁弄虚作假，确保实事求是、公平公正，提升资金使用效益；三是强化协调配合，健全联动工作机制，推动各项举措落地见效，保障精准防返贫工作取得扎实成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人员配置达到完全满足本项目相关需求。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设施设备达到完全满足本项目相关需求。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未按合同要求执行、质量不能满足要求，采购人可根据成交供应商的违约情况，调整成交供应商的供货范围或取消其服务资格，并终止合同，并对供方违约行为进行追究，同时按《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1、为顺利推进政府采购电子化交易平台应用工作，投标人需要在线提交所有通过电子化交易平台实施的政府采购项目的响应文件，同时，线下提交纸质响应文件正本壹份、副本壹份。 2、纸质响应文件正副本分别胶装（书脊处注明项目名称，项目编号），标明投标人名称密封递交，递交截止时间同在线递交电子响应文件截止时间一致，递交地址：铜川市耀州区咸丰路街道丹阳国际 15 层招标部。（纸质响应文件可邮寄，邮件签收时间应为在线递交电子响应文件截止时间之前，邮寄地址：铜川市印台区惠民佳苑 8 号楼 2 楼，联系人：常多多，联系电话：18091953010）。3、若电子投标文件与纸质投标文件不一致的，以电子投标文件为准。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任一年度的经会计师事务所或审计机构审计的财务审计报告(包括审计报告、资产负债表、利润表、现金流量表、所有者权益变动表（无所有者权益变动表需提供相应的书面声明）、附注等全部内容，成立时间至提交响应文件截止时间不足一年的可提供成立后任意时段的资产负债表)和财务情况说明书，或磋商截止日前六个月内其基本存款账户开户银行出具的资信证明及基本存款账户信息，或信用担保机构出具的投标担保函；（供应商为分支机构的，使用总公司相关财务报表，需提供总公司出具的正式授权函，明确授权其参与本次采购活动并使用总公司财务报表，同时附总公司营业执照复印件、分支机构营业执照副本及分支机构经营授权文件等佐证材料，所有复印件需加盖分支机构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分支机构参与磋商的，须附总公司（法人企业）出具的授权书（授权书可针对本项目或同类项目，在约定范围或期限内出具并允许转授权，需签章合规、授权范围明确，包含投标、签约、履约等核心权限）及总公司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具有中国银行保险监督管理委员会颁发的经营保险业务许可证，具备合法开展本次采购所涉保险业务的资质；供应商需在项目电子化交易系统中按要求上传相应证明文件并进行电子签章。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须提供“中国裁判文书网（https://wenshu.court.gov.cn）” 无行贿犯罪行为记录的查询截图，并随附良好商业信誉声明函（格式自拟，需法定代表人签字并加盖单位公章）；供应商需在项目电子化交易系统中按要求上传相应证明文件并进行电子签章。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良好的财务制度</w:t>
            </w:r>
          </w:p>
        </w:tc>
        <w:tc>
          <w:tcPr>
            <w:tcW w:type="dxa" w:w="3322"/>
          </w:tcPr>
          <w:p>
            <w:pPr>
              <w:pStyle w:val="null3"/>
            </w:pPr>
            <w:r>
              <w:rPr>
                <w:rFonts w:ascii="仿宋_GB2312" w:hAnsi="仿宋_GB2312" w:cs="仿宋_GB2312" w:eastAsia="仿宋_GB2312"/>
              </w:rPr>
              <w:t>提供近三年任一年度的经会计师事务所或审计机构审计的财务审计报告(包括审计报告、资产负债表、利润表、现金流量表、所有者权益变动表（无所有者权益变动表需提供相应的书面声明）、附注等全部内容，成立时间至提交响应文件截止时间不足一年的可提供成立后任意时段的资产负债表)和财务情况说明书，或磋商截止日前六个月内其基本存款账户开户银行出具的资信证明及基本存款账户信息，或信用担保机构出具的投标担保函；（供应商为分支机构的，使用总公司相关财务报表，需提供总公司出具的正式授权函，明确授权其参与本次采购活动并使用总公司财务报表，同时附总公司营业执照复印件、分支机构营业执照副本及分支机构经营授权文件等佐证材料，所有复印件需加盖分支机构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7月1日至磋商截止日已缴纳的至少一个月的纳税证明或完税证明（提供增值税、营业税、企业所得税中的至少一种），纳税证明或完税证明上应有代收机构或税务机关的公章或业务专用章。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7月1日至磋商截止日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提供参加本次政府采购活动前3年内在经营活动中没有重大违法记录或被起诉的书面声明；供应商需在项目电子化交易系统中按要求上传相应证明文件并进行电子签章。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法定代表人或法定代表人授权</w:t>
            </w:r>
          </w:p>
        </w:tc>
        <w:tc>
          <w:tcPr>
            <w:tcW w:type="dxa" w:w="3322"/>
          </w:tcPr>
          <w:p>
            <w:pPr>
              <w:pStyle w:val="null3"/>
            </w:pPr>
            <w:r>
              <w:rPr>
                <w:rFonts w:ascii="仿宋_GB2312" w:hAnsi="仿宋_GB2312" w:cs="仿宋_GB2312" w:eastAsia="仿宋_GB2312"/>
              </w:rPr>
              <w:t>法定代表人（负责人）直接参加磋商的，须出具法定代表人（负责人）身份证明及身份证复印件，并与营业执照上信息一致；法定代表人（负责人）授权代表参加磋商的，须出具法定代表人（负责人）授权书及授权代表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法定代表人证明书.docx 法定代表人授权书.docx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无关联声明</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提供书面《非联合体参与磋商声明函》；供应商需在项目电子化交易系统中按要求上传相应证明文件并进行电子签章。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法定代表人授权书.docx 响应文件封面 供应商同类项目业绩一览表.docx 残疾人福利性单位声明函 服务方案 标的清单 法定代表人证明书.docx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供应商按照磋商文件要求上传响应文件</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法定代表人授权书.docx 响应文件封面 供应商同类项目业绩一览表.docx 残疾人福利性单位声明函 服务方案 标的清单 法定代表人证明书.docx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供应商必须按照磋商文件的规定和要求在响应文件中指定的页面落款处加盖公章并由负责人或被授权人签名（或盖章），其余页面逐页盖公章，否则将作为无效协商响应处理。</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法定代表人授权书.docx 响应文件封面 供应商同类项目业绩一览表.docx 残疾人福利性单位声明函 服务方案 标的清单 法定代表人证明书.docx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响应文件报价不得超过最高限价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自首次递交响应文件之日起不少于90日历日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A、供应商的响应报价有选择性报价或者磋商报价重新计算后超过本项目采购预算或者最高限价的； B、供应商未经过正常渠道领取磋商文件，或供应商名称与领取磋商文件时登记的供应商名称不符的； C、无磋商有效期或有效期达不到磋商文件要求的； D、供应商针对同一项目递交两份或多份内容不同的响应文件，未书面声明哪一份是有效的或出现选择性报价的； E、提供虚假资料；提供虚假资质、虚假技术指标证明材料、虚假证明（包括第三方提供的虚假证明）；出现虚假应答、承诺、声明的； F、供应商附加了采购单位难以接受的条件或条款的； G、供应商前期参与了本次项目方案设计的； H、在政府采购或其它重大项目履约过程中有不良记录或未能按期履约的； I、供应商使用虚假印章或印章无法证实为真实有效； J、磋商报价与市场价格偏离较大、低于成本、形成不正当竞争的； K、报价子目出现漏项或报价与要求不符的； L、供应商响应的采购范围及采购内容与磋商文件要求出现重大负偏差的； M、实质性内容不满足、未完全未响应磋商要求或擅自改动工程量清单的； N、供应商有串通参与磋商、行贿等违法行为的； O、响应文件的关键内容字迹模糊、无法辨认的； P、不符合法律、法规规定的其它实质性要求的。</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法定代表人授权书.docx 响应文件封面 供应商同类项目业绩一览表.docx 残疾人福利性单位声明函 服务方案 标的清单 法定代表人证明书.docx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项目理解与认识</w:t>
            </w:r>
          </w:p>
        </w:tc>
        <w:tc>
          <w:tcPr>
            <w:tcW w:type="dxa" w:w="2492"/>
          </w:tcPr>
          <w:p>
            <w:pPr>
              <w:pStyle w:val="null3"/>
            </w:pPr>
            <w:r>
              <w:rPr>
                <w:rFonts w:ascii="仿宋_GB2312" w:hAnsi="仿宋_GB2312" w:cs="仿宋_GB2312" w:eastAsia="仿宋_GB2312"/>
              </w:rPr>
              <w:t>一、评审内容（每项计3分，最高得6分，未提供不计分） 根据本项目编制针对本项目的理解及认识方案，需涵盖： 1、对本项目背景、防返贫相关政策（含防返贫对象定义、保障线标准、对象确定流程、赔付限制等）的解读与理解； 2、项目所在地区防返贫工作现状、服务群体（农村低收入户及监测对象）特征、致贫返贫风险类型（因病、因灾、因意外事故、子女高等教育就学负担等）的收集与分析。 二、扣分规则(累计扣分不超过对应分项分值，总扣分无上限，扣完对应分项分值即止） 专门针对本项目编制，切合本项目实际情况及实施要求，内容与要点相符、每个要点均有展开详细的阐述且能够适用于本项目的计6分；以上评审内容每项有缺项扣2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保险方案设计</w:t>
            </w:r>
          </w:p>
        </w:tc>
        <w:tc>
          <w:tcPr>
            <w:tcW w:type="dxa" w:w="2492"/>
          </w:tcPr>
          <w:p>
            <w:pPr>
              <w:pStyle w:val="null3"/>
            </w:pPr>
            <w:r>
              <w:rPr>
                <w:rFonts w:ascii="仿宋_GB2312" w:hAnsi="仿宋_GB2312" w:cs="仿宋_GB2312" w:eastAsia="仿宋_GB2312"/>
              </w:rPr>
              <w:t>一、评审内容（每项计3分，最高得12分，未提供不计分） 结合防返贫对象保障需求，编制科学合理的保险方案，需包含： 1、保险责任范围（精准覆盖因病、因灾、因意外事故、子女高等教育就学负担等致贫返贫风险）； 2、赔付标准（契合防返贫保障线要求）； 3、理赔流程（简化便捷，适配农村群体特点）； 4、具体实施细则、风险防控措施等。 二、扣分规则(累计扣分不超过对应分项分值，总扣分无上限，扣完对应分项分值即止） 专门针对本项目编制，切合本项目实际情况及实施要求，内容与要点相符、每个要点均有展开详细的阐述且能够适用于本项目的计12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信息化建设及数据安全</w:t>
            </w:r>
          </w:p>
        </w:tc>
        <w:tc>
          <w:tcPr>
            <w:tcW w:type="dxa" w:w="2492"/>
          </w:tcPr>
          <w:p>
            <w:pPr>
              <w:pStyle w:val="null3"/>
            </w:pPr>
            <w:r>
              <w:rPr>
                <w:rFonts w:ascii="仿宋_GB2312" w:hAnsi="仿宋_GB2312" w:cs="仿宋_GB2312" w:eastAsia="仿宋_GB2312"/>
              </w:rPr>
              <w:t>一、评审内容（每项计3分，最高得6分，未提供不计分）1、保险业务管理系统（支持保障对象信息录入、理赔申请提交、赔付进度查询、数据统计分析等功能）； 2、数据安全保障措施（含数据存储、传输、访问控制、隐私保护等，符合国家数据安全相关法规）、数据备份及灾备机制。 二、扣分规则(累计扣分不超过对应分项分值，总扣分无上限，扣完对应分项分值即止） 专门针对本项目编制，切合本项目实际情况及实施要求，内容与要点相符、每个要点均有展开详细的阐述且能够适用于本项目的计6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一、评审内容（每项计3分，最高得12分，未提供不计分） 1、售后服务流程（含咨询、理赔跟踪、信息反馈等）； 2、服务响应时限（明确紧急与非紧急事项的响应及处理时限）； 3、投诉处理机制（含受理渠道、处理时限、反馈方式、满意度回访）； 4、后期服务跟踪及政策宣传服务（定期回访受益户、开展防返贫政策及保险知识宣讲）。 二、扣分规则(累计扣分不超过对应分项分值，总扣分无上限，扣完对应分项分值即止） 专门针对本项目编制，切合本项目实际情况及实施要求，内容与要点相符、每个要点均有展开详细的阐述且能够适用于本项目的计12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一、评审内容（每项计3分，最高得9分，未提供不计分） 对重大自然灾害等突发致贫返贫事件的应急赔付预案含 1、快速定损（明确定损响应时效、定损标准及定损人员配置，确保灾害发生后快速开展定损工作）； 2、先行赔付（制定先行赔付触发条件、审批流程及支付时限，保障受灾对象）； 3、资金保障等（明确来源渠道、资金划拨流程及资金监管措施，确保赔付资金足额、及时到位）。 二、扣分规则(累计扣分不超过对应分项分值，总扣分无上限，扣完对应分项分值即止） 专门针对本项目编制，切合本项目实际情况及实施要求，内容与要点相符、每个要点均有展开详细的阐述且能够适用于本项目的计9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专业服务团队配置</w:t>
            </w:r>
          </w:p>
        </w:tc>
        <w:tc>
          <w:tcPr>
            <w:tcW w:type="dxa" w:w="2492"/>
          </w:tcPr>
          <w:p>
            <w:pPr>
              <w:pStyle w:val="null3"/>
            </w:pPr>
            <w:r>
              <w:rPr>
                <w:rFonts w:ascii="仿宋_GB2312" w:hAnsi="仿宋_GB2312" w:cs="仿宋_GB2312" w:eastAsia="仿宋_GB2312"/>
              </w:rPr>
              <w:t>一、评审内容（本项共计10分，最高得10分，未提供不计分） 1、项目人员配备情况：人员职责与分工（配置涵盖各环节，人员职责划分清晰），提供计3分，不提供不计分； 2、理赔专员：需具备保险学、金融学、法学等相关专业背景，持有保险从业资格证书，具备保险理赔实操经验，提供计2分，不提供不计分； 3、风险评估专员：需具备统计学、风险管理等相关专业背景，具备风险评估或保险精算相关从业经验，提供计2分，不提供不计分。 4、提供拟投入本项目人员基本信息（需提供团队人员名单、学历证书、专业资质证书）：提供5-10人，计3分：提供3-5人（含5人），计2分；提供0-3人（含3人），计1分；不提供不计分。 二、扣分规则(累计扣分不超过对应分项分值，总扣分无上限，扣完对应分项分值即止） 1、未配备专职理赔专员风险评估专员三类核心岗位，每缺失一类岗位扣2分； 2、理赔专员不符合专业要求（非保险学、金融学、法学等相关专业），或无保险从业资格证书，或从业年限不足2年，扣0.5分/处； 3、风险评估专员不符合专业要求（非统计学、精算学、风险管理等相关专业），或无风险评估/精算相关从业经验，扣0.5分/处； 4、未提供团队人员学历证书、专业资质证书，每人扣0.2分。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服务网点</w:t>
            </w:r>
          </w:p>
        </w:tc>
        <w:tc>
          <w:tcPr>
            <w:tcW w:type="dxa" w:w="2492"/>
          </w:tcPr>
          <w:p>
            <w:pPr>
              <w:pStyle w:val="null3"/>
            </w:pPr>
            <w:r>
              <w:rPr>
                <w:rFonts w:ascii="仿宋_GB2312" w:hAnsi="仿宋_GB2312" w:cs="仿宋_GB2312" w:eastAsia="仿宋_GB2312"/>
              </w:rPr>
              <w:t>提供服务网点的名称、地址、电话、联系人、专员名单。（以上完全提供计2分，不完全提供不计分）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一、评审内容：（每项计2分，本项最高计6分，未提供不计分） 1、理赔时限承诺（明确受理、定损、审核、赔付到账全流程时限，同时说明超时赔付的处理方式）； 2、服务质量承诺（明确服务人员行为规范、服务流程标准化要求、投诉处理响应及办结时限、服务满意度目标等量化指标）； 3、赔付资金保障承诺（需明确资金监管方式、足额支付保障措施、资金不足时的补充调配机制）。 二、扣分规则(累计扣分不超过对应分项分值，总扣分无上限，扣完对应分项分值即止） 专门针对本项目编制，切合本项目实际情况及实施要求，内容与要点相符、每个要点均有展开详细的阐述且能够适用于本项目的计6分；以上评审内容每项有缺项扣2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评审内容：（每提供一项计1分，本项最高计2分，未提供不计分） 提供针对本项目实施合理化建议，提供科学、有实际实用价值的建议。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评审内容：（每项计5分，本项最高计10分，未提供不计分） 1、偿付能力：根据供应商（或其总公司）2025年度最新披露的综合偿付能力充足率符合保监会监管要求：≥150%计5分，≥100%计4分，100%(不含本数)以下的计2分。(提供供应商（或其总公司）年度最新披露的偿付能力报告复印件，并加盖公章，未提供不计分。) 2、风险综合评级：根据保监会磋商截止前最新公开的评级为准，评级:AA计5分;A计4.5分;BBB计4分:BB(含)以下计3分。 (须提供中国银行保险监督管理委员会偿二代监管信息系统证明材料，并加盖公章，未提供不计分。)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评审内容：（每提供一份计2分，最高得10分，未提供不计分） 供应商从2022年1月1日以来已完成同类项目业绩（三农领域或防返贫相关保险项目）。 注：响应文件需要同时提供合同首页、服务内容页、盖章页复印件并加盖供应商公章，时间以合同签订时间为准，否则不得分。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供应商同类项目业绩一览表.docx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本合同包预算金额为380000.00元；下浮率越高供应商须为采购人提供的保险服务内容越多（明确说明所提供的额外保险服务），最终直至将预算金额全部使用完毕。（服务清单为计划清单，最终服务范围及内容以采购人实际需求为准) 磋商总报价得分=评标基准价/（1-报价下浮率）*15*100%。 注:评标基准价=（1-最高下浮率）。</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详见附件：供应商同类项目业绩一览表.docx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