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版本号：SYTH-ZFCG-2026-00620260323001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铜川市印台区2025年地膜科学使用回收项目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SYTH-ZFCG-2026-006</w:t>
      </w:r>
      <w:r>
        <w:br/>
      </w:r>
      <w:r>
        <w:br/>
      </w:r>
      <w:r>
        <w:br/>
      </w:r>
    </w:p>
    <w:p>
      <w:pPr>
        <w:pStyle w:val="null3"/>
        <w:jc w:val="center"/>
        <w:outlineLvl w:val="2"/>
      </w:pPr>
      <w:r>
        <w:rPr>
          <w:rFonts w:ascii="仿宋_GB2312" w:hAnsi="仿宋_GB2312" w:cs="仿宋_GB2312" w:eastAsia="仿宋_GB2312"/>
          <w:sz w:val="28"/>
          <w:b/>
        </w:rPr>
        <w:t>铜川市印台区农业农村局</w:t>
      </w:r>
    </w:p>
    <w:p>
      <w:pPr>
        <w:pStyle w:val="null3"/>
        <w:jc w:val="center"/>
        <w:outlineLvl w:val="2"/>
      </w:pPr>
      <w:r>
        <w:rPr>
          <w:rFonts w:ascii="仿宋_GB2312" w:hAnsi="仿宋_GB2312" w:cs="仿宋_GB2312" w:eastAsia="仿宋_GB2312"/>
          <w:sz w:val="28"/>
          <w:b/>
        </w:rPr>
        <w:t>陕西晟运天弘项目管理有限公司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陕西晟运天弘项目管理有限公司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铜川市印台区农业农村局</w:t>
      </w:r>
      <w:r>
        <w:rPr>
          <w:rFonts w:ascii="仿宋_GB2312" w:hAnsi="仿宋_GB2312" w:cs="仿宋_GB2312" w:eastAsia="仿宋_GB2312"/>
        </w:rPr>
        <w:t>委托，拟对</w:t>
      </w:r>
      <w:r>
        <w:rPr>
          <w:rFonts w:ascii="仿宋_GB2312" w:hAnsi="仿宋_GB2312" w:cs="仿宋_GB2312" w:eastAsia="仿宋_GB2312"/>
        </w:rPr>
        <w:t>铜川市印台区2025年地膜科学使用回收项目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SYTH-ZFCG-2026-006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铜川市印台区2025年地膜科学使用回收项目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采购全生物降解地膜、加厚高强度反光膜。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采购包1（铜川市印台区2025年地膜科学使用回收项目）：属于专门面向中小企业采购。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具有良好的商业信誉：投标单位不得为“信用中国(www.creditchina.gov.cn)”中列入重大税收违法失信主体、严重失信主体名单及政府采购严重违法失信行为记录名单查询的投标单位；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投标单位；（“信用中国”及“中国执行信息公开网”应同时提供法定代表人或负责人查询截图且不得被列入以上名单，以上提供网页查询打印预览截图，查询时间为各投标单位领取投标文件之日至递交响应文件截止之日期间有效，打印背景体现查询日期。）投标单位需在项目电子化交易系统中按要求上传相应证明文件并进行电子签章。</w:t>
      </w:r>
    </w:p>
    <w:p>
      <w:pPr>
        <w:pStyle w:val="null3"/>
      </w:pPr>
      <w:r>
        <w:rPr>
          <w:rFonts w:ascii="仿宋_GB2312" w:hAnsi="仿宋_GB2312" w:cs="仿宋_GB2312" w:eastAsia="仿宋_GB2312"/>
        </w:rPr>
        <w:t>3、具有履行合同所必需的设备和专业技术能力：具有履行合同所必需的设备和专业技术能力的声明；投标单位需在项目电子化交易系统中按要求上传相应证明文件并进行电子签章。</w:t>
      </w:r>
    </w:p>
    <w:p>
      <w:pPr>
        <w:pStyle w:val="null3"/>
      </w:pPr>
      <w:r>
        <w:rPr>
          <w:rFonts w:ascii="仿宋_GB2312" w:hAnsi="仿宋_GB2312" w:cs="仿宋_GB2312" w:eastAsia="仿宋_GB2312"/>
        </w:rPr>
        <w:t>4、社保缴纳证明：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税收缴纳证明：提供投标截止日前近六个月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6、参加本次政府采购活动前3年内在经营活动中没有重大违法记录或被起诉：参加本次政府采购活动前3年内在经营活动中没有重大违法记录或被起诉的声明；投标单位需在项目电子化交易系统中按要求上传相应证明文件并进行电子签章。</w:t>
      </w:r>
    </w:p>
    <w:p>
      <w:pPr>
        <w:pStyle w:val="null3"/>
      </w:pPr>
      <w:r>
        <w:rPr>
          <w:rFonts w:ascii="仿宋_GB2312" w:hAnsi="仿宋_GB2312" w:cs="仿宋_GB2312" w:eastAsia="仿宋_GB2312"/>
        </w:rPr>
        <w:t>7、法定代表人证明书及授权委托书：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p>
      <w:pPr>
        <w:pStyle w:val="null3"/>
      </w:pPr>
      <w:r>
        <w:rPr>
          <w:rFonts w:ascii="仿宋_GB2312" w:hAnsi="仿宋_GB2312" w:cs="仿宋_GB2312" w:eastAsia="仿宋_GB2312"/>
        </w:rPr>
        <w:t>8、单位负责人为同一人或存在直接控股、管理关系的不同供应商，不得参加本项目中同一合同项下的政府采购活动：单位负责人为同一人或存在直接控股、管理关系的不同投标单位，不得参加本项目中同一合同项下的政府采购活动的声明；投标单位需在项目电子化交易系统中按要求上传相应证明文件并进行电子签章。</w:t>
      </w:r>
    </w:p>
    <w:p>
      <w:pPr>
        <w:pStyle w:val="null3"/>
      </w:pPr>
      <w:r>
        <w:rPr>
          <w:rFonts w:ascii="仿宋_GB2312" w:hAnsi="仿宋_GB2312" w:cs="仿宋_GB2312" w:eastAsia="仿宋_GB2312"/>
        </w:rPr>
        <w:t>9、本项目不接受联合体投标：提供本非联合体投标声明；投标单位需在项目电子化交易系统中按要求上传相应证明文件并进行电子签章。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铜川市印台区同官路80号（印台区政府院内）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13468793467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陕西晟运天弘项目管理有限公司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陕西省铜川市王益区河滨路粮油公司办公楼三楼北户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0919-2392777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采购包1：2,207,880.00元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铜川市印台区农业农村局</w:t>
      </w:r>
      <w:r>
        <w:rPr>
          <w:rFonts w:ascii="仿宋_GB2312" w:hAnsi="仿宋_GB2312" w:cs="仿宋_GB2312" w:eastAsia="仿宋_GB2312"/>
        </w:rPr>
        <w:t>和</w:t>
      </w:r>
      <w:r>
        <w:rPr>
          <w:rFonts w:ascii="仿宋_GB2312" w:hAnsi="仿宋_GB2312" w:cs="仿宋_GB2312" w:eastAsia="仿宋_GB2312"/>
        </w:rPr>
        <w:t>陕西晟运天弘项目管理有限公司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陕西晟运天弘项目管理有限公司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陕西晟运天弘项目管理有限公司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联系人：肖楠</w:t>
      </w:r>
    </w:p>
    <w:p>
      <w:pPr>
        <w:pStyle w:val="null3"/>
      </w:pPr>
      <w:r>
        <w:rPr>
          <w:rFonts w:ascii="仿宋_GB2312" w:hAnsi="仿宋_GB2312" w:cs="仿宋_GB2312" w:eastAsia="仿宋_GB2312"/>
        </w:rPr>
        <w:t>联系电话：0919-2392777</w:t>
      </w:r>
    </w:p>
    <w:p>
      <w:pPr>
        <w:pStyle w:val="null3"/>
      </w:pPr>
      <w:r>
        <w:rPr>
          <w:rFonts w:ascii="仿宋_GB2312" w:hAnsi="仿宋_GB2312" w:cs="仿宋_GB2312" w:eastAsia="仿宋_GB2312"/>
        </w:rPr>
        <w:t>地址：陕西省铜川市王益区河滨路粮油公司办公楼三楼北户</w:t>
      </w:r>
    </w:p>
    <w:p>
      <w:pPr>
        <w:pStyle w:val="null3"/>
      </w:pPr>
      <w:r>
        <w:rPr>
          <w:rFonts w:ascii="仿宋_GB2312" w:hAnsi="仿宋_GB2312" w:cs="仿宋_GB2312" w:eastAsia="仿宋_GB2312"/>
        </w:rPr>
        <w:t>邮编：727007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采购全生物降解地膜、加厚高强度反光膜。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2,207,880.00</w:t>
      </w:r>
    </w:p>
    <w:p>
      <w:pPr>
        <w:pStyle w:val="null3"/>
      </w:pPr>
      <w:r>
        <w:rPr>
          <w:rFonts w:ascii="仿宋_GB2312" w:hAnsi="仿宋_GB2312" w:cs="仿宋_GB2312" w:eastAsia="仿宋_GB2312"/>
        </w:rPr>
        <w:t>采购包最高限价（元）: 2,207,880.00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全生物降解地膜</w:t>
            </w:r>
          </w:p>
        </w:tc>
        <w:tc>
          <w:tcPr>
            <w:tcW w:type="dxa" w:w="831"/>
          </w:tcPr>
          <w:p>
            <w:pPr>
              <w:pStyle w:val="null3"/>
              <w:jc w:val="right"/>
            </w:pPr>
            <w:r>
              <w:rPr>
                <w:rFonts w:ascii="仿宋_GB2312" w:hAnsi="仿宋_GB2312" w:cs="仿宋_GB2312" w:eastAsia="仿宋_GB2312"/>
              </w:rPr>
              <w:t>11.60</w:t>
            </w:r>
          </w:p>
        </w:tc>
        <w:tc>
          <w:tcPr>
            <w:tcW w:type="dxa" w:w="831"/>
          </w:tcPr>
          <w:p>
            <w:pPr>
              <w:pStyle w:val="null3"/>
              <w:jc w:val="right"/>
            </w:pPr>
            <w:r>
              <w:rPr>
                <w:rFonts w:ascii="仿宋_GB2312" w:hAnsi="仿宋_GB2312" w:cs="仿宋_GB2312" w:eastAsia="仿宋_GB2312"/>
              </w:rPr>
              <w:t>348,000.00</w:t>
            </w:r>
          </w:p>
        </w:tc>
        <w:tc>
          <w:tcPr>
            <w:tcW w:type="dxa" w:w="831"/>
          </w:tcPr>
          <w:p>
            <w:pPr>
              <w:pStyle w:val="null3"/>
            </w:pPr>
            <w:r>
              <w:rPr>
                <w:rFonts w:ascii="仿宋_GB2312" w:hAnsi="仿宋_GB2312" w:cs="仿宋_GB2312" w:eastAsia="仿宋_GB2312"/>
              </w:rPr>
              <w:t>吨</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加厚高强度反光膜</w:t>
            </w:r>
          </w:p>
        </w:tc>
        <w:tc>
          <w:tcPr>
            <w:tcW w:type="dxa" w:w="831"/>
          </w:tcPr>
          <w:p>
            <w:pPr>
              <w:pStyle w:val="null3"/>
              <w:jc w:val="right"/>
            </w:pPr>
            <w:r>
              <w:rPr>
                <w:rFonts w:ascii="仿宋_GB2312" w:hAnsi="仿宋_GB2312" w:cs="仿宋_GB2312" w:eastAsia="仿宋_GB2312"/>
              </w:rPr>
              <w:t>110.00</w:t>
            </w:r>
          </w:p>
        </w:tc>
        <w:tc>
          <w:tcPr>
            <w:tcW w:type="dxa" w:w="831"/>
          </w:tcPr>
          <w:p>
            <w:pPr>
              <w:pStyle w:val="null3"/>
              <w:jc w:val="right"/>
            </w:pPr>
            <w:r>
              <w:rPr>
                <w:rFonts w:ascii="仿宋_GB2312" w:hAnsi="仿宋_GB2312" w:cs="仿宋_GB2312" w:eastAsia="仿宋_GB2312"/>
              </w:rPr>
              <w:t>1,859,880.00</w:t>
            </w:r>
          </w:p>
        </w:tc>
        <w:tc>
          <w:tcPr>
            <w:tcW w:type="dxa" w:w="831"/>
          </w:tcPr>
          <w:p>
            <w:pPr>
              <w:pStyle w:val="null3"/>
            </w:pPr>
            <w:r>
              <w:rPr>
                <w:rFonts w:ascii="仿宋_GB2312" w:hAnsi="仿宋_GB2312" w:cs="仿宋_GB2312" w:eastAsia="仿宋_GB2312"/>
              </w:rPr>
              <w:t>吨</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标的名称：全生物降解地膜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全生物降解地膜符合《全生物降解农用地面覆盖薄膜》（</w:t>
            </w:r>
            <w:r>
              <w:rPr>
                <w:rFonts w:ascii="仿宋_GB2312" w:hAnsi="仿宋_GB2312" w:cs="仿宋_GB2312" w:eastAsia="仿宋_GB2312"/>
                <w:sz w:val="24"/>
                <w:color w:val="000000"/>
              </w:rPr>
              <w:t>GB/T 35795-2017）要求，产品水蒸气透过率在 400g/（m2·24h）以下，有效使用寿命在 60 天以上。需提供有资质机构出具的每批次供膜的第三方质检报告。</w:t>
            </w:r>
          </w:p>
        </w:tc>
      </w:tr>
    </w:tbl>
    <w:p>
      <w:pPr>
        <w:pStyle w:val="null3"/>
      </w:pPr>
      <w:r>
        <w:rPr>
          <w:rFonts w:ascii="仿宋_GB2312" w:hAnsi="仿宋_GB2312" w:cs="仿宋_GB2312" w:eastAsia="仿宋_GB2312"/>
        </w:rPr>
        <w:t>标的名称：加厚高强度反光膜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加厚高强度反光膜的覆盖时间和力学性能指标应不低于《聚乙烯吹塑农用地面覆盖薄膜》（</w:t>
            </w:r>
            <w:r>
              <w:rPr>
                <w:rFonts w:ascii="仿宋_GB2312" w:hAnsi="仿宋_GB2312" w:cs="仿宋_GB2312" w:eastAsia="仿宋_GB2312"/>
                <w:sz w:val="24"/>
                <w:color w:val="000000"/>
              </w:rPr>
              <w:t>GB 13735-2017）中I类耐老化地膜有关要求，其中产品标称厚度不小于0.015mm，有效覆盖使用时间不低于 180 天，且使用后最大拉伸负荷、断裂标称应变等力学性能指标不小于初始值的 50%。需提供有资质机构出具的每批次供膜的第三方质检报告。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采购物资按照招标人要求进行包装并分发至指定地点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验收合格后，项目无质量问题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投标单位未按合同要求执行、质量不能满足要求，采购人可根据投标单位的违约情况，调整投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投标单位应具备《中华人民共和国政府采购法》第二十二条规定的条件</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投标单位应提供健全的财务会计制度的证明材料；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及财务情况说明书，或投标前六个月内其基本存款账户开户银行出具的资信证明，或信用担保机构出具的投标担保函；（提供复印件加盖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投标单位需在项目电子化交易系统中按要求填写《投标函》完成承诺并进行电子签章。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投标单位不得为“信用中国(www.creditchina.gov.cn)”中列入重大税收违法失信主体、严重失信主体名单及政府采购严重违法失信行为记录名单查询的投标单位；不得在“中国执行信息公开网(http://zxgk.court.gov.cn)”被列为失信被执行人；不得被列入“国家企业信用信息公示系统(http://www.gsxt.gov.cn/index.html)”行政处罚信息、经营异常名录信息及严重违法失信名单；不得为“中国政府采购网(www.ccgp.gov.cn)”政府采购严重违法失信行为记录名单中被财政部门禁止参加政府采购活动的投标单位；（“信用中国”及“中国执行信息公开网”应同时提供法定代表人或负责人查询截图且不得被列入以上名单，以上提供网页查询打印预览截图，查询时间为各投标单位领取投标文件之日至递交响应文件截止之日期间有效，打印背景体现查询日期。）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六个月内已缴存的至少一个月的社会保障资金缴存单据或社保机构开具的社会保险参保缴费情况证明。依法不需要缴纳社会保障资金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六个月内已缴纳的至少一个月的纳税证明或完税证明，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法定代表人证明书及授权委托书</w:t>
            </w:r>
          </w:p>
        </w:tc>
        <w:tc>
          <w:tcPr>
            <w:tcW w:type="dxa" w:w="3322"/>
          </w:tcPr>
          <w:p>
            <w:pPr>
              <w:pStyle w:val="null3"/>
            </w:pPr>
            <w:r>
              <w:rPr>
                <w:rFonts w:ascii="仿宋_GB2312" w:hAnsi="仿宋_GB2312" w:cs="仿宋_GB2312" w:eastAsia="仿宋_GB2312"/>
              </w:rPr>
              <w:t>法定代表人参加投标的，须提供法定代表人证明书及本人身份证复印件并出示身份证原件；法定代表人授权他人参加投标的，须提供法定代表人授权委托书并出示授权代表的身份证原件。采购文件中凡是需要法定代表人签字盖章之处，非法人单位的负责人均参照执行；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单位负责人为同一人或存在直接控股、管理关系的不同供应商，不得参加本项目中同一合同项下的政府采购活动</w:t>
            </w:r>
          </w:p>
        </w:tc>
        <w:tc>
          <w:tcPr>
            <w:tcW w:type="dxa" w:w="3322"/>
          </w:tcPr>
          <w:p>
            <w:pPr>
              <w:pStyle w:val="null3"/>
            </w:pPr>
            <w:r>
              <w:rPr>
                <w:rFonts w:ascii="仿宋_GB2312" w:hAnsi="仿宋_GB2312" w:cs="仿宋_GB2312" w:eastAsia="仿宋_GB2312"/>
              </w:rPr>
              <w:t>单位负责人为同一人或存在直接控股、管理关系的不同投标单位，不得参加本项目中同一合同项下的政府采购活动的声明；投标单位需在项目电子化交易系统中按要求上传相应证明文件并进行电子签章。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提供本非联合体投标声明；投标单位需在项目电子化交易系统中按要求上传相应证明文件并进行电子签章。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单位必须按照招标文件的规定和要求在投标文件中指定的页面落款处加盖公章并由法定代表人或被授权人签名（或盖章），其余页面逐页盖公章，否则将作为无效投标文件处理。招标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不得超过90日历天</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自首次递交投标文件之日起90日历日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A、投标人的投标报价有选择性报价或者投标报价重新计算后超过本项目采购预算或者最高限价的； B、投标人未经过正常渠道领取招标文件，或投标人名称与领取招标文件时登记的投标人名称不符的； C、投标人针对同一项目递交两份或多份内容不同的投标文件，未书面声明哪一份是有效的或出现选择性报价的； D、提供虚假资质、虚假资料、虚假证明（包括第三方提供的虚假证明）；出现虚假应答、承诺、声明的，除按无效投标文件处理外，还将按照政府采购的有关规定进行处罚；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I、提供虚假技术性能指标。 J、实质性内容不满足、未完全未响应招标要求或擅自改动采购清单的； K、投标文件的关键内容字迹模糊、无法辨认的； L、不符合法律、法规规定的其它实质性要求的。</w:t>
            </w:r>
          </w:p>
        </w:tc>
        <w:tc>
          <w:tcPr>
            <w:tcW w:type="dxa" w:w="1661"/>
          </w:tcPr>
          <w:p>
            <w:pPr>
              <w:pStyle w:val="null3"/>
            </w:pPr>
            <w:r>
              <w:rPr>
                <w:rFonts w:ascii="仿宋_GB2312" w:hAnsi="仿宋_GB2312" w:cs="仿宋_GB2312" w:eastAsia="仿宋_GB2312"/>
              </w:rPr>
              <w:t>开标一览表 业绩一览表.docx 技术方案.docx 中小企业声明函 商务应答表 投标人应提交的相关资格证明材料 产品技术参数表 投标函 残疾人福利性单位声明函 标的清单 投标文件封面 法定代表人证明书及法定代表人授权委托书.docx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投标单位有具体的①备货、供货安排②供货进度保证措施 ③货物安全保障措施；评审标准：方案各部分内容全面详细、阐述条理清晰详尽、符合本项目采购需求得15分；评审内容每缺一项扣5分，扣完为止；评审内容有一项内容缺陷（缺陷是指：内容描述过于简单、条理不清晰、与项目内容不匹配、凭空编造、出现常识性错误、不可能实现的夸大情形、存在不适用项目实际情况的情形等）扣1.5-4.5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能提供所投产品的合法来源渠道证明文件（包括但不限于产品制造商授权/销售协议/代理协议/原厂授权等）的计10分，若提供每项证明文件不齐全、不符合或有遗漏扣3分，未提供不得分。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单位针对本项目的①质量保证措施②物流保障措施③运输方案④项目验收方案⑤项目团队配备方案；评审标准：方案各部分内容全面详细、阐述条理清晰详尽、符合本项目采购需求得10分；评审内容每缺一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投标单位针对本项目提的①突发事件的处理方案②响应的时效性保证措施；评审标准：方案各部分内容全面详细、阐述条理清晰详尽、符合本项目采购需求得10分；评审内容每缺一项扣5分，扣完为止；评审内容有一项内容缺陷（缺陷是指：内容描述过于简单、条理不清晰、与项目内容不匹配、凭空编造、出现常识性错误、不可能实现的夸大情形、存在不适用项目实际情况的情形等）扣1.5-4.5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单位针对本项目提出具体的培训方案，方案内容包含：①培训计划②培训人员安排；评审标准：方案各部分内容全面详细、阐述条理清晰详尽、可行性高、符合本项目采购需求得10分；评审内容每缺一项扣5分，扣完为止；评审内容有一项内容缺陷（缺陷是指：内容描述过于简单、条理不清晰、与项目内容不匹配、凭空编造、出现常识性错误、不可能实现的夸大情形、存在不适用项目实际情况的情形等）扣1.5-4.5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单位针对本项目提出具体的售后服务方案，方案内容包含：①售后服务机构地址，电话联系人②售后服务人员组织③售后服务保障措施④产品交付采购方后出现质量问题的响应时间⑤售后服务承诺；评审标准：方案各部分内容全面详细、阐述条理清晰详尽、符合本项目采购需求得10分；评审内容每缺一 项扣2分，扣完为止；评审内容有一项内容缺陷（缺陷是指：内容描述过于简单、条理不清晰、与项目内容不匹配、凭空编造、出现常识性错误、不可能实现的夸大情形、存在不适用项目实际情况的情形等）扣0.5-1.5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每提供1个2023年1月1日至今已完成类似项目业绩（提供中标/成交通知书或合同协议书）得2.5分，满分5分。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1、综合评分法中的价格分统一采用低价优先法计算，即满足招标文件要求且投标价格最低的投标报价为基准价，其价格分为满分30分。 2、其他投标单位的投标报价得分计算公式如下： 投标报价得分=（评标基准价／投标报价）×30；小数点后保留二位， 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详见附件：法定代表人证明书及法定代表人授权委托书.docx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