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版本号：YCRH-2026-032320260324001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铜川市印台区农村规模化供水工程一标段第三方质量检测服务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YCRH-2026-0323</w:t>
      </w:r>
      <w:r>
        <w:br/>
      </w:r>
      <w:r>
        <w:br/>
      </w:r>
      <w:r>
        <w:br/>
      </w:r>
    </w:p>
    <w:p>
      <w:pPr>
        <w:pStyle w:val="null3"/>
        <w:jc w:val="center"/>
        <w:outlineLvl w:val="2"/>
      </w:pPr>
      <w:r>
        <w:rPr>
          <w:rFonts w:ascii="仿宋_GB2312" w:hAnsi="仿宋_GB2312" w:cs="仿宋_GB2312" w:eastAsia="仿宋_GB2312"/>
          <w:sz w:val="28"/>
          <w:b/>
        </w:rPr>
        <w:t>铜川市印台区水务局</w:t>
      </w:r>
    </w:p>
    <w:p>
      <w:pPr>
        <w:pStyle w:val="null3"/>
        <w:jc w:val="center"/>
        <w:outlineLvl w:val="2"/>
      </w:pPr>
      <w:r>
        <w:rPr>
          <w:rFonts w:ascii="仿宋_GB2312" w:hAnsi="仿宋_GB2312" w:cs="仿宋_GB2312" w:eastAsia="仿宋_GB2312"/>
          <w:sz w:val="28"/>
          <w:b/>
        </w:rPr>
        <w:t>铜川耀城任禾项目管理有限公司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铜川耀城任禾项目管理有限公司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铜川市印台区水务局</w:t>
      </w:r>
      <w:r>
        <w:rPr>
          <w:rFonts w:ascii="仿宋_GB2312" w:hAnsi="仿宋_GB2312" w:cs="仿宋_GB2312" w:eastAsia="仿宋_GB2312"/>
        </w:rPr>
        <w:t>委托，拟对</w:t>
      </w:r>
      <w:r>
        <w:rPr>
          <w:rFonts w:ascii="仿宋_GB2312" w:hAnsi="仿宋_GB2312" w:cs="仿宋_GB2312" w:eastAsia="仿宋_GB2312"/>
        </w:rPr>
        <w:t>铜川市印台区农村规模化供水工程一标段第三方质量检测服务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YCRH-2026-0323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铜川市印台区农村规模化供水工程一标段第三方质量检测服务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聚焦工程所用钢筋、水泥、管材等原材料，混凝土中间产品、土方压实度等项目的质量复检。主要功能或目标:确保铜川市印台区农村规模化供水工程达到安全标准。需满足的要求:出具一对一检测报告，报告需满足国家水利工程施工试验检测相关法规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采购包1（铜川市印台区农村规模化供水工程一标段第三方质量检测服务）：属于专门面向中小企业采购。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主要负责人）委托代理人参加投标时，应提供法定代表人（主要负责人）授权委托书；法定代表人（主要负责人）亲自参加投标时，应提供法定代表人（主要负责人）身份证明书；其他组织、自然人参加投标的，须出具参加投标的证明资料。</w:t>
      </w:r>
    </w:p>
    <w:p>
      <w:pPr>
        <w:pStyle w:val="null3"/>
      </w:pPr>
      <w:r>
        <w:rPr>
          <w:rFonts w:ascii="仿宋_GB2312" w:hAnsi="仿宋_GB2312" w:cs="仿宋_GB2312" w:eastAsia="仿宋_GB2312"/>
        </w:rPr>
        <w:t>3、财务状况报告：提供具有财务审计资质的单位出具经审计的2024年或2025年年度的财务审计报告（包括报告正文、资产负债表、利润表、现金流量表及所有者权益变动表（无所有者权益表的提供书面说明）、附注、会计师事务所营业执照及注册会计师执业证书，报告正文应有会计师事务所公章，2个注册会计师的签字和盖章）；事业法人提供部门决算报告；或在开标日期前6个月内其基本开户银行出具的资信证明（附《基本存款账户信息》或《银行开户许可证》复印件）；或财政部门认可的政府采购专业担保机构出具的投标担保函。</w:t>
      </w:r>
    </w:p>
    <w:p>
      <w:pPr>
        <w:pStyle w:val="null3"/>
      </w:pPr>
      <w:r>
        <w:rPr>
          <w:rFonts w:ascii="仿宋_GB2312" w:hAnsi="仿宋_GB2312" w:cs="仿宋_GB2312" w:eastAsia="仿宋_GB2312"/>
        </w:rPr>
        <w:t>4、税收缴纳证明：提供依法缴纳税收的良好记录，缴费所属日期为投标截止时间前一年内已缴纳任意时段（投标截止时间当月不计入）的增值税（或企业所得税）缴费凭据或纳税的银行转账汇款单、对账单等；判定/在法规范围内不需提供的，应出具书面说明和证明文件。</w:t>
      </w:r>
    </w:p>
    <w:p>
      <w:pPr>
        <w:pStyle w:val="null3"/>
      </w:pPr>
      <w:r>
        <w:rPr>
          <w:rFonts w:ascii="仿宋_GB2312" w:hAnsi="仿宋_GB2312" w:cs="仿宋_GB2312" w:eastAsia="仿宋_GB2312"/>
        </w:rPr>
        <w:t>5、社会保障资金缴纳证明：提供依法缴纳社会保障资金的良好记录，缴费所属日期为投标截止时间前一年内已缴纳任意时段（投标截止时间当月不计入）的根据银行转账汇款单或社保部门出具的缴纳社会保障金的凭证；判定/在法规范围内不需提供的，应出具书面说明和证明文件。</w:t>
      </w:r>
    </w:p>
    <w:p>
      <w:pPr>
        <w:pStyle w:val="null3"/>
      </w:pPr>
      <w:r>
        <w:rPr>
          <w:rFonts w:ascii="仿宋_GB2312" w:hAnsi="仿宋_GB2312" w:cs="仿宋_GB2312" w:eastAsia="仿宋_GB2312"/>
        </w:rPr>
        <w:t>6、没有重大违法记录的书面声明：提供参加政府采购活动前3年内在经营活动中没有重大违法记录的书面声明。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7、信用记录：供应商不得被“信用中国”网站（www.creditchina.gov.cn）列入失信被执行人和重大税收违法案件当事人名单人，不得被“中国政府采购网”（www.ccgp.gov.cn）列入政府采购严重违法失信行为记录名单。</w:t>
      </w:r>
    </w:p>
    <w:p>
      <w:pPr>
        <w:pStyle w:val="null3"/>
      </w:pPr>
      <w:r>
        <w:rPr>
          <w:rFonts w:ascii="仿宋_GB2312" w:hAnsi="仿宋_GB2312" w:cs="仿宋_GB2312" w:eastAsia="仿宋_GB2312"/>
        </w:rPr>
        <w:t>8、履行合同所必需的设备和专业技术能力的书面声明：提供履行合同所必需的设备和专业技术能力的书面声明。</w:t>
      </w:r>
    </w:p>
    <w:p>
      <w:pPr>
        <w:pStyle w:val="null3"/>
      </w:pPr>
      <w:r>
        <w:rPr>
          <w:rFonts w:ascii="仿宋_GB2312" w:hAnsi="仿宋_GB2312" w:cs="仿宋_GB2312" w:eastAsia="仿宋_GB2312"/>
        </w:rPr>
        <w:t>9、企业资质：具备水利工程质量检测（混凝土工程乙级、岩土工程乙级、量测乙级）或以上资质，且具备相关行政部门颁发的检验检测机构资质认定证书（CMA认证）。</w:t>
      </w:r>
    </w:p>
    <w:p>
      <w:pPr>
        <w:pStyle w:val="null3"/>
      </w:pPr>
      <w:r>
        <w:rPr>
          <w:rFonts w:ascii="仿宋_GB2312" w:hAnsi="仿宋_GB2312" w:cs="仿宋_GB2312" w:eastAsia="仿宋_GB2312"/>
        </w:rPr>
        <w:t>10、项目负责人：拟派项目负责人具有水利水电相关专业中级(含中级)以上技术职称，并具有水利工程质量检测员职业资格。</w:t>
      </w:r>
    </w:p>
    <w:p>
      <w:pPr>
        <w:pStyle w:val="null3"/>
      </w:pPr>
      <w:r>
        <w:rPr>
          <w:rFonts w:ascii="仿宋_GB2312" w:hAnsi="仿宋_GB2312" w:cs="仿宋_GB2312" w:eastAsia="仿宋_GB2312"/>
        </w:rPr>
        <w:t>11、与其他投标人不存在单位负责人为同一人，且不存在直接控股、管理关系：若与其他供应商存在单位负责人为同一人或者存在直接控股、管理关系的，则投标无效。</w:t>
      </w:r>
    </w:p>
    <w:p>
      <w:pPr>
        <w:pStyle w:val="null3"/>
      </w:pPr>
      <w:r>
        <w:rPr>
          <w:rFonts w:ascii="仿宋_GB2312" w:hAnsi="仿宋_GB2312" w:cs="仿宋_GB2312" w:eastAsia="仿宋_GB2312"/>
        </w:rPr>
        <w:t>12、本采购包专门面向中小企业采购：本采购包专门面向中小企业采购，参与的供应商全部为符合政策要求的中小企业。（监狱企业、残疾人福利性单位视同小型、微型企业）。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陕西省铜川市印台区重兴北路122号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0919-2683110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铜川耀城任禾项目管理有限公司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陕西省铜川市耀州区天宝路街道办事处天宝滩社区锦阳路北段西侧转角楼二层门面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0919-6600459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国家发展和改革委员会办公厅关于招标代理服务收费有关问题的通知》（发改办价格〔2003〕857号）规定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铜川市印台区水务局</w:t>
      </w:r>
      <w:r>
        <w:rPr>
          <w:rFonts w:ascii="仿宋_GB2312" w:hAnsi="仿宋_GB2312" w:cs="仿宋_GB2312" w:eastAsia="仿宋_GB2312"/>
        </w:rPr>
        <w:t>和</w:t>
      </w:r>
      <w:r>
        <w:rPr>
          <w:rFonts w:ascii="仿宋_GB2312" w:hAnsi="仿宋_GB2312" w:cs="仿宋_GB2312" w:eastAsia="仿宋_GB2312"/>
        </w:rPr>
        <w:t>铜川耀城任禾项目管理有限公司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铜川耀城任禾项目管理有限公司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铜川耀城任禾项目管理有限公司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铜川耀城任禾项目管理有限公司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铜川耀城任禾项目管理有限公司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铜川耀城任禾项目管理有限公司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联系电话：0919-6600459</w:t>
      </w:r>
    </w:p>
    <w:p>
      <w:pPr>
        <w:pStyle w:val="null3"/>
      </w:pPr>
      <w:r>
        <w:rPr>
          <w:rFonts w:ascii="仿宋_GB2312" w:hAnsi="仿宋_GB2312" w:cs="仿宋_GB2312" w:eastAsia="仿宋_GB2312"/>
        </w:rPr>
        <w:t>地址：陕西省铜川市耀州区华原路与锦阳路交叉口（柳公权中学对面、光明眼镜行隔壁）</w:t>
      </w:r>
    </w:p>
    <w:p>
      <w:pPr>
        <w:pStyle w:val="null3"/>
      </w:pPr>
      <w:r>
        <w:rPr>
          <w:rFonts w:ascii="仿宋_GB2312" w:hAnsi="仿宋_GB2312" w:cs="仿宋_GB2312" w:eastAsia="仿宋_GB2312"/>
        </w:rPr>
        <w:t>邮编：727100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聚焦工程所用钢筋、水泥、管材等原材料，混凝土中间产品、土方压实度等项目的质量复检。主要功能或目标:确保铜川市印台区农村规模化供水工程达到安全标准。需满足的要求:出具一对一检测报告，报告需满足国家水利工程施工试验检测相关法规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完成铜川市印台区农村规模化供水工程一标段第三方质量检测服务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标的名称：完成铜川市印台区农村规模化供水工程一标段第三方质量检测服务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聚焦工程所用钢筋、水泥、管材等原材料，混凝土中间产品、土方压实度等项目的质量复检。</w:t>
            </w:r>
          </w:p>
          <w:p>
            <w:pPr>
              <w:pStyle w:val="null3"/>
              <w:jc w:val="both"/>
            </w:pPr>
            <w:r>
              <w:rPr>
                <w:rFonts w:ascii="仿宋_GB2312" w:hAnsi="仿宋_GB2312" w:cs="仿宋_GB2312" w:eastAsia="仿宋_GB2312"/>
                <w:sz w:val="21"/>
              </w:rPr>
              <w:t>主要功能或目标</w:t>
            </w:r>
            <w:r>
              <w:rPr>
                <w:rFonts w:ascii="仿宋_GB2312" w:hAnsi="仿宋_GB2312" w:cs="仿宋_GB2312" w:eastAsia="仿宋_GB2312"/>
                <w:sz w:val="21"/>
              </w:rPr>
              <w:t>:确保铜川市印台区农村规模化供水工程达到安全标准。</w:t>
            </w:r>
          </w:p>
          <w:p>
            <w:pPr>
              <w:pStyle w:val="null3"/>
            </w:pPr>
            <w:r>
              <w:rPr>
                <w:rFonts w:ascii="仿宋_GB2312" w:hAnsi="仿宋_GB2312" w:cs="仿宋_GB2312" w:eastAsia="仿宋_GB2312"/>
                <w:sz w:val="21"/>
              </w:rPr>
              <w:t>需满足的要求</w:t>
            </w:r>
            <w:r>
              <w:rPr>
                <w:rFonts w:ascii="仿宋_GB2312" w:hAnsi="仿宋_GB2312" w:cs="仿宋_GB2312" w:eastAsia="仿宋_GB2312"/>
                <w:sz w:val="21"/>
              </w:rPr>
              <w:t>:出具一对一检测报告，报告需满足国家水利工程施工试验检测相关法规要求</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按照采购服务要求供应商自行配置完成本项目所需人员。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按照采购服务要求供应商自行配置完成本项目所需设备。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从项目施工开工至竣工验收完毕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报告通过审查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版响应文件，正本壹份、副本贰份、电子版壹份（U盘一份标明供应商名称，随正本密封）。若线上电子响应文件与纸质响应文件不一致的，以线上电子响应文件为准；若正本和副本不符，以正本为准。 2、线下递交文件时间：详见本项目竞争性磋商公告（即提交响应文件截止时间）； 3、线下递交文件地点：陕西省铜川市耀州区华原路与锦阳路交叉口（柳公权中学对面、光明眼镜行隔壁） 铜川耀城任禾项目管理有限公司。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的单位出具经审计的2024年或2025年年度的财务审计报告（包括报告正文、资产负债表、利润表、现金流量表及所有者权益变动表（无所有者权益表的提供书面说明）、附注、会计师事务所营业执照及注册会计师执业证书，报告正文应有会计师事务所公章，2个注册会计师的签字和盖章）；事业法人提供部门决算报告；或在开标日期前6个月内其基本开户银行出具的资信证明（附《基本存款账户信息》或《银行开户许可证》复印件）；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其他组织、自然人参加投标的，须出具参加投标的证明资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的单位出具经审计的2024年或2025年年度的财务审计报告（包括报告正文、资产负债表、利润表、现金流量表及所有者权益变动表（无所有者权益表的提供书面说明）、附注、会计师事务所营业执照及注册会计师执业证书，报告正文应有会计师事务所公章，2个注册会计师的签字和盖章）；事业法人提供部门决算报告；或在开标日期前6个月内其基本开户银行出具的资信证明（附《基本存款账户信息》或《银行开户许可证》复印件）；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缴费所属日期为投标截止时间前一年内已缴纳任意时段（投标截止时间当月不计入）的增值税（或企业所得税）缴费凭据或纳税的银行转账汇款单、对账单等；判定/在法规范围内不需提供的，应出具书面说明和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缴费所属日期为投标截止时间前一年内已缴纳任意时段（投标截止时间当月不计入）的根据银行转账汇款单或社保部门出具的缴纳社会保障金的凭证；判定/在法规范围内不需提供的，应出具书面说明和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供应商不得被“信用中国”网站（www.creditchina.gov.cn）列入失信被执行人和重大税收违法案件当事人名单人，不得被“中国政府采购网”（www.ccgp.gov.cn）列入政府采购严重违法失信行为记录名单。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履行合同所必需的设备和专业技术能力的书面声明</w:t>
            </w:r>
          </w:p>
        </w:tc>
        <w:tc>
          <w:tcPr>
            <w:tcW w:type="dxa" w:w="3322"/>
          </w:tcPr>
          <w:p>
            <w:pPr>
              <w:pStyle w:val="null3"/>
            </w:pPr>
            <w:r>
              <w:rPr>
                <w:rFonts w:ascii="仿宋_GB2312" w:hAnsi="仿宋_GB2312" w:cs="仿宋_GB2312" w:eastAsia="仿宋_GB2312"/>
              </w:rPr>
              <w:t>提供履行合同所必需的设备和专业技术能力的书面声明。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具备水利工程质量检测（混凝土工程乙级、岩土工程乙级、量测乙级）或以上资质，且具备相关行政部门颁发的检验检测机构资质认定证书（CMA认证）。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拟派项目负责人具有水利水电相关专业中级(含中级)以上技术职称，并具有水利工程质量检测员职业资格。</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与其他投标人不存在单位负责人为同一人，且不存在直接控股、管理关系</w:t>
            </w:r>
          </w:p>
        </w:tc>
        <w:tc>
          <w:tcPr>
            <w:tcW w:type="dxa" w:w="3322"/>
          </w:tcPr>
          <w:p>
            <w:pPr>
              <w:pStyle w:val="null3"/>
            </w:pPr>
            <w:r>
              <w:rPr>
                <w:rFonts w:ascii="仿宋_GB2312" w:hAnsi="仿宋_GB2312" w:cs="仿宋_GB2312" w:eastAsia="仿宋_GB2312"/>
              </w:rPr>
              <w:t>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本采购包专门面向中小企业采购，参与的供应商全部为符合政策要求的中小企业。（监狱企业、残疾人福利性单位视同小型、微型企业）。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响应文件内容：要求必须响应的内容齐全、无遗漏。</w:t>
            </w:r>
          </w:p>
        </w:tc>
        <w:tc>
          <w:tcPr>
            <w:tcW w:type="dxa" w:w="1661"/>
          </w:tcPr>
          <w:p>
            <w:pPr>
              <w:pStyle w:val="null3"/>
            </w:pPr>
            <w:r>
              <w:rPr>
                <w:rFonts w:ascii="仿宋_GB2312" w:hAnsi="仿宋_GB2312" w:cs="仿宋_GB2312" w:eastAsia="仿宋_GB2312"/>
              </w:rPr>
              <w:t>分项报价表 中小企业声明函 技术、商务偏离表 其他投标人认为需要提供的资料 报价表 响应文件封面 项目业绩 法定代表人证明书及法定代表人授权委托书 残疾人福利性单位声明函 详细评审 符合政府采购政策的承诺书 标的清单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竞争性磋商响应文件的响应程度审查</w:t>
            </w:r>
          </w:p>
        </w:tc>
        <w:tc>
          <w:tcPr>
            <w:tcW w:type="dxa" w:w="3322"/>
          </w:tcPr>
          <w:p>
            <w:pPr>
              <w:pStyle w:val="null3"/>
            </w:pPr>
            <w:r>
              <w:rPr>
                <w:rFonts w:ascii="仿宋_GB2312" w:hAnsi="仿宋_GB2312" w:cs="仿宋_GB2312" w:eastAsia="仿宋_GB2312"/>
              </w:rPr>
              <w:t>（1）响应文件响应程度：要求全面响应，不能有任何采购人不能接受的附加条件；（2）拟提供的服务要求：应满足磋商文件提出的技术和服务要求。（3）响应有效期：应满足磋商文件中的规定；（4）合同履行期限：应满足磋商文件中的规定</w:t>
            </w:r>
          </w:p>
        </w:tc>
        <w:tc>
          <w:tcPr>
            <w:tcW w:type="dxa" w:w="1661"/>
          </w:tcPr>
          <w:p>
            <w:pPr>
              <w:pStyle w:val="null3"/>
            </w:pPr>
            <w:r>
              <w:rPr>
                <w:rFonts w:ascii="仿宋_GB2312" w:hAnsi="仿宋_GB2312" w:cs="仿宋_GB2312" w:eastAsia="仿宋_GB2312"/>
              </w:rPr>
              <w:t>分项报价表 中小企业声明函 技术、商务偏离表 其他投标人认为需要提供的资料 报价表 响应文件封面 项目业绩 法定代表人证明书及法定代表人授权委托书 残疾人福利性单位声明函 详细评审 符合政府采购政策的承诺书 标的清单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按磋商文件要求相应位置加盖公章，法定代表人或其授权代表人的签字齐全并加盖公章；（2）报价唯一：只能有一个有效报价，不得提交选择性报价，且报价不超过采购预算和最高限价中的任何一个。</w:t>
            </w:r>
          </w:p>
        </w:tc>
        <w:tc>
          <w:tcPr>
            <w:tcW w:type="dxa" w:w="1661"/>
          </w:tcPr>
          <w:p>
            <w:pPr>
              <w:pStyle w:val="null3"/>
            </w:pPr>
            <w:r>
              <w:rPr>
                <w:rFonts w:ascii="仿宋_GB2312" w:hAnsi="仿宋_GB2312" w:cs="仿宋_GB2312" w:eastAsia="仿宋_GB2312"/>
              </w:rPr>
              <w:t>分项报价表 中小企业声明函 技术、商务偏离表 其他投标人认为需要提供的资料 报价表 响应文件封面 项目业绩 法定代表人证明书及法定代表人授权委托书 残疾人福利性单位声明函 详细评审 符合政府采购政策的承诺书 标的清单 响应函 监狱企业的证明文件 供应商资格证明文件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检测大纲的完整性和合理性</w:t>
            </w:r>
          </w:p>
        </w:tc>
        <w:tc>
          <w:tcPr>
            <w:tcW w:type="dxa" w:w="2492"/>
          </w:tcPr>
          <w:p>
            <w:pPr>
              <w:pStyle w:val="null3"/>
            </w:pPr>
            <w:r>
              <w:rPr>
                <w:rFonts w:ascii="仿宋_GB2312" w:hAnsi="仿宋_GB2312" w:cs="仿宋_GB2312" w:eastAsia="仿宋_GB2312"/>
              </w:rPr>
              <w:t>大纲编制内容完善、层次分明、措施齐全、风险分析合理得10-15分；基本合理得5-10分；合理性低得0-5分；描述不合理或无此项描述者不得分。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质量检测控制的程序、措施</w:t>
            </w:r>
          </w:p>
        </w:tc>
        <w:tc>
          <w:tcPr>
            <w:tcW w:type="dxa" w:w="2492"/>
          </w:tcPr>
          <w:p>
            <w:pPr>
              <w:pStyle w:val="null3"/>
            </w:pPr>
            <w:r>
              <w:rPr>
                <w:rFonts w:ascii="仿宋_GB2312" w:hAnsi="仿宋_GB2312" w:cs="仿宋_GB2312" w:eastAsia="仿宋_GB2312"/>
              </w:rPr>
              <w:t>检测程序规范、措施有力、质量得到保证者得3-6分；基本满足要求得0-3分；描述不合理或无此项描述者不得分。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有应急检测方案，可应对随时可能发生的风险并提出解决措施，措施合理可行得3-5分； 有应急检测方案，对可能发生的风险提出解决措施基本可行得0-3分； 无应急检测方案或应急检测方案不可行不得分。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检测依据及方法</w:t>
            </w:r>
          </w:p>
        </w:tc>
        <w:tc>
          <w:tcPr>
            <w:tcW w:type="dxa" w:w="2492"/>
          </w:tcPr>
          <w:p>
            <w:pPr>
              <w:pStyle w:val="null3"/>
            </w:pPr>
            <w:r>
              <w:rPr>
                <w:rFonts w:ascii="仿宋_GB2312" w:hAnsi="仿宋_GB2312" w:cs="仿宋_GB2312" w:eastAsia="仿宋_GB2312"/>
              </w:rPr>
              <w:t>制定的检测依据及方法符合现行规范要求，且满足工程要求的得5-10分；基本满足要求得0-5分；描述完全不能满足工程要求或无此项描述者不得分。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项目检测计划满足要求</w:t>
            </w:r>
          </w:p>
        </w:tc>
        <w:tc>
          <w:tcPr>
            <w:tcW w:type="dxa" w:w="2492"/>
          </w:tcPr>
          <w:p>
            <w:pPr>
              <w:pStyle w:val="null3"/>
            </w:pPr>
            <w:r>
              <w:rPr>
                <w:rFonts w:ascii="仿宋_GB2312" w:hAnsi="仿宋_GB2312" w:cs="仿宋_GB2312" w:eastAsia="仿宋_GB2312"/>
              </w:rPr>
              <w:t>项目的检测种类、数量、频次及要点满足要求得4-8分；基本满足要求得0-4分；描述完全不能满足工程要求或无此项描述者不得分。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拟投入本工程的检测、测量及办公设备满足需要者得5分；否则酌情扣分。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1.组织机构健全，专业人员配备齐全、合理,职责划分明确，具备能承担检验检测任务的专业人员，完全满足采购需求得10-15分。 2.人员设置及人员分工安排不够清晰、职责划分不够明确，承担检验检测任务的专业人员基本满足采购需求得5-10分； 3.人员设置及人员分工安排不清晰、职责划分不明确，承担检验检测任务的专业人员不满足采购需求0-5分。 （参与项目检测人员应具有水利工程质量检测员职业资格或者具备水利水电工程及相关专业中级以上技术职称。）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供应商自2023年3月以来承接过类似检测项目业绩，提供一个得2分，满分6分（以合同复印件加盖公章为准）不提供不得分。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第二次（最终）磋商报价最低的供应商的价格为磋商基准价，其价格分为满分。其他供应商的价格分统一按照下列公式计算：磋商报价得分=（磋商基准价/第二次（最终）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详见附件：法定代表人证明书及法定代表人授权委托书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详见附件：技术、商务偏离表</w:t>
      </w:r>
    </w:p>
    <w:p>
      <w:pPr>
        <w:pStyle w:val="null3"/>
        <w:ind w:firstLine="960"/>
      </w:pPr>
      <w:r>
        <w:rPr>
          <w:rFonts w:ascii="仿宋_GB2312" w:hAnsi="仿宋_GB2312" w:cs="仿宋_GB2312" w:eastAsia="仿宋_GB2312"/>
        </w:rPr>
        <w:t>详见附件：详细评审</w:t>
      </w:r>
    </w:p>
    <w:p>
      <w:pPr>
        <w:pStyle w:val="null3"/>
        <w:ind w:firstLine="960"/>
      </w:pPr>
      <w:r>
        <w:rPr>
          <w:rFonts w:ascii="仿宋_GB2312" w:hAnsi="仿宋_GB2312" w:cs="仿宋_GB2312" w:eastAsia="仿宋_GB2312"/>
        </w:rPr>
        <w:t>详见附件：项目业绩</w:t>
      </w:r>
    </w:p>
    <w:p>
      <w:pPr>
        <w:pStyle w:val="null3"/>
        <w:ind w:firstLine="960"/>
      </w:pPr>
      <w:r>
        <w:rPr>
          <w:rFonts w:ascii="仿宋_GB2312" w:hAnsi="仿宋_GB2312" w:cs="仿宋_GB2312" w:eastAsia="仿宋_GB2312"/>
        </w:rPr>
        <w:t>详见附件：符合政府采购政策的承诺书</w:t>
      </w:r>
    </w:p>
    <w:p>
      <w:pPr>
        <w:pStyle w:val="null3"/>
        <w:ind w:firstLine="960"/>
      </w:pPr>
      <w:r>
        <w:rPr>
          <w:rFonts w:ascii="仿宋_GB2312" w:hAnsi="仿宋_GB2312" w:cs="仿宋_GB2312" w:eastAsia="仿宋_GB2312"/>
        </w:rPr>
        <w:t>详见附件：其他投标人认为需要提供的资料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