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版本号：ZC-HJL2026-0120260415001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铜川市印台区林草有害生物防治项目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ZC-HJL2026-01</w:t>
      </w:r>
      <w:r>
        <w:br/>
      </w:r>
      <w:r>
        <w:br/>
      </w:r>
      <w:r>
        <w:br/>
      </w:r>
    </w:p>
    <w:p>
      <w:pPr>
        <w:pStyle w:val="null3"/>
        <w:jc w:val="center"/>
        <w:outlineLvl w:val="2"/>
      </w:pPr>
      <w:r>
        <w:rPr>
          <w:rFonts w:ascii="仿宋_GB2312" w:hAnsi="仿宋_GB2312" w:cs="仿宋_GB2312" w:eastAsia="仿宋_GB2312"/>
          <w:sz w:val="28"/>
          <w:b/>
        </w:rPr>
        <w:t>铜川市印台区林业局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铜川市印台区林业局</w:t>
      </w:r>
      <w:r>
        <w:rPr>
          <w:rFonts w:ascii="仿宋_GB2312" w:hAnsi="仿宋_GB2312" w:cs="仿宋_GB2312" w:eastAsia="仿宋_GB2312"/>
        </w:rPr>
        <w:t>委托，拟对</w:t>
      </w:r>
      <w:r>
        <w:rPr>
          <w:rFonts w:ascii="仿宋_GB2312" w:hAnsi="仿宋_GB2312" w:cs="仿宋_GB2312" w:eastAsia="仿宋_GB2312"/>
        </w:rPr>
        <w:t>铜川市印台区林草有害生物防治项目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ZC-HJL2026-01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铜川市印台区林草有害生物防治项目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铜川市印台区林草有害生物防治项目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采购包1（铜川市印台区林草有害生物防治项目）：属于专门面向中小企业采购。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1、营业执照：供应商为具有独立承担民事责任能力的法人、其他组织或自然人，并出具合法有效的营业执照或事业单位法人 证书等国家规定的相关证明，自然人参与的提供其身份证明；</w:t>
      </w:r>
    </w:p>
    <w:p>
      <w:pPr>
        <w:pStyle w:val="null3"/>
      </w:pPr>
      <w:r>
        <w:rPr>
          <w:rFonts w:ascii="仿宋_GB2312" w:hAnsi="仿宋_GB2312" w:cs="仿宋_GB2312" w:eastAsia="仿宋_GB2312"/>
        </w:rPr>
        <w:t>2、授权委托书：法定代表人直接参加磋商的，须出具法人身份证明；法定代表人授权代表参加磋商的，须出具法定代表人授权书；</w:t>
      </w:r>
    </w:p>
    <w:p>
      <w:pPr>
        <w:pStyle w:val="null3"/>
      </w:pPr>
      <w:r>
        <w:rPr>
          <w:rFonts w:ascii="仿宋_GB2312" w:hAnsi="仿宋_GB2312" w:cs="仿宋_GB2312" w:eastAsia="仿宋_GB2312"/>
        </w:rPr>
        <w:t>3、资质证书：供应商须具备林业有害生物防治乙级及以上资质</w:t>
      </w:r>
    </w:p>
    <w:p>
      <w:pPr>
        <w:pStyle w:val="null3"/>
      </w:pPr>
      <w:r>
        <w:rPr>
          <w:rFonts w:ascii="仿宋_GB2312" w:hAnsi="仿宋_GB2312" w:cs="仿宋_GB2312" w:eastAsia="仿宋_GB2312"/>
        </w:rPr>
        <w:t>4、财务状况证明：提供 2024 年或 2025 年度的财务审计报告或其基本存款账户开户银行出具的资信证明及基本存款账户开户许可证；</w:t>
      </w:r>
    </w:p>
    <w:p>
      <w:pPr>
        <w:pStyle w:val="null3"/>
      </w:pPr>
      <w:r>
        <w:rPr>
          <w:rFonts w:ascii="仿宋_GB2312" w:hAnsi="仿宋_GB2312" w:cs="仿宋_GB2312" w:eastAsia="仿宋_GB2312"/>
        </w:rPr>
        <w:t>5、税收缴纳证明：提供响应文件递交截止日前六个月内已缴纳的至少一个月依法缴纳税收的证明材料</w:t>
      </w:r>
    </w:p>
    <w:p>
      <w:pPr>
        <w:pStyle w:val="null3"/>
      </w:pPr>
      <w:r>
        <w:rPr>
          <w:rFonts w:ascii="仿宋_GB2312" w:hAnsi="仿宋_GB2312" w:cs="仿宋_GB2312" w:eastAsia="仿宋_GB2312"/>
        </w:rPr>
        <w:t>6、社会保障资金缴纳：提供响应文件递交截止日前六个月内已缴存的至少一个月的社会保障资金缴存单据或社保机构开具的社会保险参保缴费情况证明,依法不需要缴纳社会保障资金的单位应提供相关证明材料;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7、信用查询：投标人不得为“信用中国”网站(www.creditchina.gov.cn) 中列入重大税收违法失信主体、中国执行信息公开网（http://zxgk.court.gov.cn/shixin/）中列入失信被执行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8、承诺书：提供具有履行合同所必需的设备和专业技术能力的承诺;</w:t>
      </w:r>
    </w:p>
    <w:p>
      <w:pPr>
        <w:pStyle w:val="null3"/>
      </w:pPr>
      <w:r>
        <w:rPr>
          <w:rFonts w:ascii="仿宋_GB2312" w:hAnsi="仿宋_GB2312" w:cs="仿宋_GB2312" w:eastAsia="仿宋_GB2312"/>
        </w:rPr>
        <w:t>9、书面声明：参加政府采购活动近三年内，在经营活动中没有重大违法记录，提供书面声明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铜川市印台区顺金路90号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13992966776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13571579783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本采购项目中标价为基数，按国家计委颁发的《招标代理服务收费管理暂行办法》（计价格[2002]1980号）和国家发改委办公厅颁发的《关于招标代理服务收费有关问题的通知》（发改办价格[2003] 857号）的有关规定收取，向采购代理机构一次付清代理服务费。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铜川市印台区林业局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联系人：张宏</w:t>
      </w:r>
    </w:p>
    <w:p>
      <w:pPr>
        <w:pStyle w:val="null3"/>
      </w:pPr>
      <w:r>
        <w:rPr>
          <w:rFonts w:ascii="仿宋_GB2312" w:hAnsi="仿宋_GB2312" w:cs="仿宋_GB2312" w:eastAsia="仿宋_GB2312"/>
        </w:rPr>
        <w:t>联系电话：13571579783</w:t>
      </w:r>
    </w:p>
    <w:p>
      <w:pPr>
        <w:pStyle w:val="null3"/>
      </w:pPr>
      <w:r>
        <w:rPr>
          <w:rFonts w:ascii="仿宋_GB2312" w:hAnsi="仿宋_GB2312" w:cs="仿宋_GB2312" w:eastAsia="仿宋_GB2312"/>
        </w:rPr>
        <w:t>地址：陕西省铜川市新区铁诺北路2号（大学生创业孵化园）</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铜川市印台区林草有害生物防治项目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铜川市印台区林草有害生物防治项目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标的名称：铜川市印台区林草有害生物防治项目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333333"/>
              </w:rPr>
              <w:t>一、项目概况：随着印台区防护林绿化规模的不断扩大，松林植物病虫害的防治工作也越来越重要，严重威协防护林的安全，为保护森林资源，守护生态安全，需对印台区所有松林红脂大小蠹病虫害进行防治。</w:t>
            </w:r>
          </w:p>
          <w:p>
            <w:pPr>
              <w:pStyle w:val="null3"/>
            </w:pPr>
            <w:r>
              <w:rPr>
                <w:rFonts w:ascii="仿宋_GB2312" w:hAnsi="仿宋_GB2312" w:cs="仿宋_GB2312" w:eastAsia="仿宋_GB2312"/>
                <w:sz w:val="18"/>
                <w:color w:val="333333"/>
              </w:rPr>
              <w:t>二、防治对象：本次防治作业的主要防治对象为:</w:t>
            </w:r>
            <w:r>
              <w:rPr>
                <w:rFonts w:ascii="仿宋_GB2312" w:hAnsi="仿宋_GB2312" w:cs="仿宋_GB2312" w:eastAsia="仿宋_GB2312"/>
                <w:sz w:val="18"/>
                <w:color w:val="333333"/>
              </w:rPr>
              <w:t>鼠害、</w:t>
            </w:r>
            <w:r>
              <w:rPr>
                <w:rFonts w:ascii="仿宋_GB2312" w:hAnsi="仿宋_GB2312" w:cs="仿宋_GB2312" w:eastAsia="仿宋_GB2312"/>
                <w:sz w:val="18"/>
                <w:color w:val="333333"/>
              </w:rPr>
              <w:t>钻蛀类害虫、</w:t>
            </w:r>
            <w:r>
              <w:rPr>
                <w:rFonts w:ascii="仿宋_GB2312" w:hAnsi="仿宋_GB2312" w:cs="仿宋_GB2312" w:eastAsia="仿宋_GB2312"/>
                <w:sz w:val="18"/>
                <w:color w:val="333333"/>
              </w:rPr>
              <w:t>松林红脂大小蠹。</w:t>
            </w:r>
          </w:p>
          <w:p>
            <w:pPr>
              <w:pStyle w:val="null3"/>
            </w:pPr>
            <w:r>
              <w:rPr>
                <w:rFonts w:ascii="仿宋_GB2312" w:hAnsi="仿宋_GB2312" w:cs="仿宋_GB2312" w:eastAsia="仿宋_GB2312"/>
                <w:sz w:val="18"/>
                <w:color w:val="333333"/>
              </w:rPr>
              <w:t>三服务内容：1、根据陕林防检发[2025]17号文件要求，对全区草原鼠害进行监测调查; 2、根据铜林防检发[2025]11号文件要求，对全区所有松林钻蛀类害虫进行调查; 3、根据铜林发[2025]25号文件要求，对全区所有松林红脂大小蠹虫害进行监测。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符合现行规范、规程、规定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合同签订生效后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在采购人确认成交供应商完成全部监测及防治服务的情况下，经双方复验合格后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甲乙双方因合同发生争议，进行调解、协商不成，可向甲方所在地人民法院提起诉讼。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 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法定代表人直接参加磋商的，须出具法人身份证明；法定代表人授权代表参加磋商的，须出具法定代表人授权书；</w:t>
            </w:r>
          </w:p>
        </w:tc>
        <w:tc>
          <w:tcPr>
            <w:tcW w:type="dxa" w:w="1661"/>
          </w:tcPr>
          <w:p>
            <w:pPr>
              <w:pStyle w:val="null3"/>
            </w:pPr>
            <w:r>
              <w:rPr>
                <w:rFonts w:ascii="仿宋_GB2312" w:hAnsi="仿宋_GB2312" w:cs="仿宋_GB2312" w:eastAsia="仿宋_GB2312"/>
              </w:rPr>
              <w:t>法定代表人身份证明书.docx 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供应商须具备林业有害生物防治乙级及以上资质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 2024 年或 2025 年度的财务审计报告或其基本存款账户开户银行出具的资信证明及基本存款账户开户许可证；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提供响应文件递交截止日前六个月内已缴纳的至少一个月依法缴纳税收的证明材料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w:t>
            </w:r>
          </w:p>
        </w:tc>
        <w:tc>
          <w:tcPr>
            <w:tcW w:type="dxa" w:w="3322"/>
          </w:tcPr>
          <w:p>
            <w:pPr>
              <w:pStyle w:val="null3"/>
            </w:pPr>
            <w:r>
              <w:rPr>
                <w:rFonts w:ascii="仿宋_GB2312" w:hAnsi="仿宋_GB2312" w:cs="仿宋_GB2312" w:eastAsia="仿宋_GB2312"/>
              </w:rPr>
              <w:t>提供响应文件递交截止日前六个月内已缴存的至少一个月的社会保障资金缴存单据或社保机构开具的社会保险参保缴费情况证明,依法不需要缴纳社会保障资金的单位应提供相关证明材料;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 中列入重大税收违法失信主体、中国执行信息公开网（http://zxgk.court.gov.cn/shixin/）中列入失信被执行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服务内容及服务邀请应答表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响应文件必须由法定代表人或其授权代理人签字并加盖公章</w:t>
            </w:r>
          </w:p>
        </w:tc>
        <w:tc>
          <w:tcPr>
            <w:tcW w:type="dxa" w:w="1661"/>
          </w:tcPr>
          <w:p>
            <w:pPr>
              <w:pStyle w:val="null3"/>
            </w:pPr>
            <w:r>
              <w:rPr>
                <w:rFonts w:ascii="仿宋_GB2312" w:hAnsi="仿宋_GB2312" w:cs="仿宋_GB2312" w:eastAsia="仿宋_GB2312"/>
              </w:rPr>
              <w:t>响应文件封面 服务内容及服务邀请应答表 中小企业声明函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响应文件封面 服务内容及服务邀请应答表 中小企业声明函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响应总报价未超出招标人设定的最高限价为有效报价。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 针对本项目的总体服务方案，包括但不限于①项目需求理解；②服务计划；③重点部位作业方法；④监测预警体系方案。2、赋分标准每一条评审内容不存在缺陷得3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1、配备方案包括但不限于①人员数量、分工、从业经验等；②岗位配备及职责；③人员培训计划。 2、评审标准： 每项方案内容完善、全面合理、具有针对性和可实施性，得3分，缺失1项扣3分。每项中有一处不合理(不合理是指:不符合服务技术要求相关内容、内容错误、描述有歧义、逻辑有漏洞、表述不清)的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1.评审内容包含：①服务质量保障体系；②药剂用量标准；③效果验收措施。 2.评审标准：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针对本项目的服务承诺包括但不限于：①防治质量与效果承诺②安全与环保承诺③履约保障与售后服务承诺。 2、评审标准：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设备配备方案</w:t>
            </w:r>
          </w:p>
        </w:tc>
        <w:tc>
          <w:tcPr>
            <w:tcW w:type="dxa" w:w="2492"/>
          </w:tcPr>
          <w:p>
            <w:pPr>
              <w:pStyle w:val="null3"/>
            </w:pPr>
            <w:r>
              <w:rPr>
                <w:rFonts w:ascii="仿宋_GB2312" w:hAnsi="仿宋_GB2312" w:cs="仿宋_GB2312" w:eastAsia="仿宋_GB2312"/>
              </w:rPr>
              <w:t>1、评审内容: 针对本项目需求提供防治药剂、材料、工具等配置方案（包括物料配置清单、使用功能等内容）。 2、赋分标准(5分): 整体方案内容完善、全面合理、层次清楚、具有针对性和可实施性，得5分，每有一处不合理(不合理是指:设备不符合服务技术要求相关内容、内容错误、描述有歧义、逻辑有漏洞、表述不清)的扣1分，扣完为止。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1.评审内容包含：①在作业过程中出现突发问题的应急处置方案；②应急响应时间；③出现突发状况应急人员安排。 2.评审标准：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1.评审内容包含：①在作业过程中人员安全保障措施；②作业环境安全防范；③药剂使用安全保障。 2.评审标准：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提供近三年（2023年3月至今）类似项目业绩，响应文件中附有其业绩证明材料，业绩以中标（成交）通知书或合同加盖供应商红色公章的复印件为依据，提供一个计2分，满分8分。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价格分统一采用低价优先法计算，即满足磋商文件要求且磋商价格最低的报价为评标基准价，其价格分为满分。其他供应商的价格分统一按照下列公式计算：报价得分=(评标基准价／磋商报价)×价格权值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详见附件：法定代表人身份证明书.docx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