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版本号：ZHZB-26Z04211020260422001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印台区漆水河水源地保护及上游水生态修复技术服务项目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ZHZB-26Z042110</w:t>
      </w:r>
      <w:r>
        <w:br/>
      </w:r>
      <w:r>
        <w:br/>
      </w:r>
      <w:r>
        <w:br/>
      </w:r>
    </w:p>
    <w:p>
      <w:pPr>
        <w:pStyle w:val="null3"/>
        <w:jc w:val="center"/>
        <w:outlineLvl w:val="2"/>
      </w:pPr>
      <w:r>
        <w:rPr>
          <w:rFonts w:ascii="仿宋_GB2312" w:hAnsi="仿宋_GB2312" w:cs="仿宋_GB2312" w:eastAsia="仿宋_GB2312"/>
          <w:sz w:val="28"/>
          <w:b/>
        </w:rPr>
        <w:t>铜川市生态环境局印台分局</w:t>
      </w:r>
    </w:p>
    <w:p>
      <w:pPr>
        <w:pStyle w:val="null3"/>
        <w:jc w:val="center"/>
        <w:outlineLvl w:val="2"/>
      </w:pPr>
      <w:r>
        <w:rPr>
          <w:rFonts w:ascii="仿宋_GB2312" w:hAnsi="仿宋_GB2312" w:cs="仿宋_GB2312" w:eastAsia="仿宋_GB2312"/>
          <w:sz w:val="28"/>
          <w:b/>
        </w:rPr>
        <w:t>陕西中汇工程管理有限公司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陕西中汇工程管理有限公司</w:t>
      </w:r>
      <w:r>
        <w:rPr>
          <w:rFonts w:ascii="仿宋_GB2312" w:hAnsi="仿宋_GB2312" w:cs="仿宋_GB2312" w:eastAsia="仿宋_GB2312"/>
        </w:rPr>
        <w:t>（以下简称“代理机构”）受</w:t>
      </w:r>
      <w:r>
        <w:rPr>
          <w:rFonts w:ascii="仿宋_GB2312" w:hAnsi="仿宋_GB2312" w:cs="仿宋_GB2312" w:eastAsia="仿宋_GB2312"/>
        </w:rPr>
        <w:t>铜川市生态环境局印台分局</w:t>
      </w:r>
      <w:r>
        <w:rPr>
          <w:rFonts w:ascii="仿宋_GB2312" w:hAnsi="仿宋_GB2312" w:cs="仿宋_GB2312" w:eastAsia="仿宋_GB2312"/>
        </w:rPr>
        <w:t>委托，拟对</w:t>
      </w:r>
      <w:r>
        <w:rPr>
          <w:rFonts w:ascii="仿宋_GB2312" w:hAnsi="仿宋_GB2312" w:cs="仿宋_GB2312" w:eastAsia="仿宋_GB2312"/>
        </w:rPr>
        <w:t>印台区漆水河水源地保护及上游水生态修复技术服务项目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ZHZB-26Z042110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印台区漆水河水源地保护及上游水生态修复技术服务项目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项目内容主要包括建设项目环境影响评价、建设项目竣工环境保护验收、社会稳定风险评估报告、水土保持方案、水土保持初步设计、水土保持监测、水土保持验收。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采购包1（印台区漆水河水源地保护及上游水生态修复技术服务项目）：属于专门面向中小企业采购。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供2024年度完整的财务审计报告（成立时间至提交响应文件截止时间不足一年的可提供成立后任意时段的资产负债表），或磋商截止日前六个月内其基本存款账户开户银行出具的资信证明。其他组织和自然人提供银行出具的资信证明；</w:t>
      </w:r>
    </w:p>
    <w:p>
      <w:pPr>
        <w:pStyle w:val="null3"/>
      </w:pPr>
      <w:r>
        <w:rPr>
          <w:rFonts w:ascii="仿宋_GB2312" w:hAnsi="仿宋_GB2312" w:cs="仿宋_GB2312" w:eastAsia="仿宋_GB2312"/>
        </w:rPr>
        <w:t>3、税收缴纳证明：提供2025年度至今已缴纳的至少一个月的纳税证明或完税证明，依法免税的单位应提供相关证明材料；</w:t>
      </w:r>
    </w:p>
    <w:p>
      <w:pPr>
        <w:pStyle w:val="null3"/>
      </w:pPr>
      <w:r>
        <w:rPr>
          <w:rFonts w:ascii="仿宋_GB2312" w:hAnsi="仿宋_GB2312" w:cs="仿宋_GB2312" w:eastAsia="仿宋_GB2312"/>
        </w:rPr>
        <w:t>4、社会保障资金缴纳证明：提供2025年度至今已缴存的至少一个月的社会保障资金缴存单据或社保机构开具的社会保险参保缴费情况证明，依法不需要缴纳社会保障资金的单位应提供相关证明材料；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供应商信用记录：供应商不得为‘信用中国’网站（http://www.creditchina.gov.cn）列入‘失信被执行人’或‘重大税收违法失信主体’，不得为中国政府采购网（http://www.ccgp.gov.cn）列入‘政府采购严重违法失信行为记录名单’。投标截止日当天，采购人或代理机构通过‘信用中国’网站、中国政府采购网查询供应商信用记录。若存在失信情形，投标无效；</w:t>
      </w:r>
    </w:p>
    <w:p>
      <w:pPr>
        <w:pStyle w:val="null3"/>
      </w:pPr>
      <w:r>
        <w:rPr>
          <w:rFonts w:ascii="仿宋_GB2312" w:hAnsi="仿宋_GB2312" w:cs="仿宋_GB2312" w:eastAsia="仿宋_GB2312"/>
        </w:rPr>
        <w:t>6、履约能力：提供具有履行合同所必需的设备和专业技术能力的承诺函；</w:t>
      </w:r>
    </w:p>
    <w:p>
      <w:pPr>
        <w:pStyle w:val="null3"/>
      </w:pPr>
      <w:r>
        <w:rPr>
          <w:rFonts w:ascii="仿宋_GB2312" w:hAnsi="仿宋_GB2312" w:cs="仿宋_GB2312" w:eastAsia="仿宋_GB2312"/>
        </w:rPr>
        <w:t>7、法定代表人身份证明或法定代表人授权委托书：法定代表人授权委托书及被授权委托人身份证（法定代表人参加磋商只须提供法定代表人身份证）</w:t>
      </w:r>
    </w:p>
    <w:p>
      <w:pPr>
        <w:pStyle w:val="null3"/>
      </w:pPr>
      <w:r>
        <w:rPr>
          <w:rFonts w:ascii="仿宋_GB2312" w:hAnsi="仿宋_GB2312" w:cs="仿宋_GB2312" w:eastAsia="仿宋_GB2312"/>
        </w:rPr>
        <w:t>8、项目负责人资格：拟派项目负责人需具备环境工程或水土保持或社会学相关专业的工程师职业资格，并提供相关证书及劳动合同或社保证明；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铜川市生态环境局印台分局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铜川市印台区城关南路50号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15309190975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陕西中汇工程管理有限公司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陕西省西安市高新区科技二路72号兰基中心1004室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王琴、毛梦凡、雷文文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029-88855213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铜川市印台区政府采购管理股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孟繁胜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0919-4191018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有关问题的通知》（发改办价格[2003]857号）的有关规定执行。成交单位在领取成交通知书前，须向采购代理机构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铜川市生态环境局印台分局</w:t>
      </w:r>
      <w:r>
        <w:rPr>
          <w:rFonts w:ascii="仿宋_GB2312" w:hAnsi="仿宋_GB2312" w:cs="仿宋_GB2312" w:eastAsia="仿宋_GB2312"/>
        </w:rPr>
        <w:t>和</w:t>
      </w:r>
      <w:r>
        <w:rPr>
          <w:rFonts w:ascii="仿宋_GB2312" w:hAnsi="仿宋_GB2312" w:cs="仿宋_GB2312" w:eastAsia="仿宋_GB2312"/>
        </w:rPr>
        <w:t>陕西中汇工程管理有限公司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铜川市生态环境局印台分局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陕西中汇工程管理有限公司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铜川市生态环境局印台分局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陕西中汇工程管理有限公司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陕西中汇工程管理有限公司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陕西中汇工程管理有限公司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陕西中汇工程管理有限公司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联系人：王琴、毛梦凡、雷文文</w:t>
      </w:r>
    </w:p>
    <w:p>
      <w:pPr>
        <w:pStyle w:val="null3"/>
      </w:pPr>
      <w:r>
        <w:rPr>
          <w:rFonts w:ascii="仿宋_GB2312" w:hAnsi="仿宋_GB2312" w:cs="仿宋_GB2312" w:eastAsia="仿宋_GB2312"/>
        </w:rPr>
        <w:t>联系电话：029-88855213</w:t>
      </w:r>
    </w:p>
    <w:p>
      <w:pPr>
        <w:pStyle w:val="null3"/>
      </w:pPr>
      <w:r>
        <w:rPr>
          <w:rFonts w:ascii="仿宋_GB2312" w:hAnsi="仿宋_GB2312" w:cs="仿宋_GB2312" w:eastAsia="仿宋_GB2312"/>
        </w:rPr>
        <w:t>地址：陕西省西安市高新区科技二路72号兰基中心1004室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项目内容主要包括建设项目环境影响评价、建设项目竣工环境保护验收、社会稳定风险评估报告、水土保持方案、水土保持初步设计、水土保持监测、水土保持验收。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评估服务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标的名称：评估服务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w:t>
            </w:r>
            <w:r>
              <w:rPr>
                <w:rFonts w:ascii="仿宋_GB2312" w:hAnsi="仿宋_GB2312" w:cs="仿宋_GB2312" w:eastAsia="仿宋_GB2312"/>
              </w:rPr>
              <w:t>、</w:t>
            </w:r>
            <w:r>
              <w:rPr>
                <w:rFonts w:ascii="仿宋_GB2312" w:hAnsi="仿宋_GB2312" w:cs="仿宋_GB2312" w:eastAsia="仿宋_GB2312"/>
              </w:rPr>
              <w:t>采购内容：</w:t>
            </w:r>
          </w:p>
          <w:p>
            <w:pPr>
              <w:pStyle w:val="null3"/>
            </w:pPr>
            <w:r>
              <w:rPr>
                <w:rFonts w:ascii="仿宋_GB2312" w:hAnsi="仿宋_GB2312" w:cs="仿宋_GB2312" w:eastAsia="仿宋_GB2312"/>
              </w:rPr>
              <w:t>项目内容主要包括建设项目环境影响评价、建设项目竣工环境保护验收、社会稳定风险评估报告、水土保持方案、水土保持初步设计、水土保持监测、水土保持验收。</w:t>
            </w:r>
          </w:p>
          <w:p>
            <w:pPr>
              <w:pStyle w:val="null3"/>
            </w:pPr>
            <w:r>
              <w:rPr>
                <w:rFonts w:ascii="仿宋_GB2312" w:hAnsi="仿宋_GB2312" w:cs="仿宋_GB2312" w:eastAsia="仿宋_GB2312"/>
              </w:rPr>
              <w:t>二、工作内容</w:t>
            </w:r>
          </w:p>
          <w:p>
            <w:pPr>
              <w:pStyle w:val="null3"/>
            </w:pPr>
            <w:r>
              <w:rPr>
                <w:rFonts w:ascii="仿宋_GB2312" w:hAnsi="仿宋_GB2312" w:cs="仿宋_GB2312" w:eastAsia="仿宋_GB2312"/>
              </w:rPr>
              <w:t>为《</w:t>
            </w:r>
            <w:r>
              <w:rPr>
                <w:rFonts w:ascii="仿宋_GB2312" w:hAnsi="仿宋_GB2312" w:cs="仿宋_GB2312" w:eastAsia="仿宋_GB2312"/>
              </w:rPr>
              <w:t>印台区漆水河水源地保护及上游水生态修复项目》进行</w:t>
            </w:r>
            <w:r>
              <w:rPr>
                <w:rFonts w:ascii="仿宋_GB2312" w:hAnsi="仿宋_GB2312" w:cs="仿宋_GB2312" w:eastAsia="仿宋_GB2312"/>
              </w:rPr>
              <w:t>评估，编制报告书</w:t>
            </w:r>
            <w:r>
              <w:rPr>
                <w:rFonts w:ascii="仿宋_GB2312" w:hAnsi="仿宋_GB2312" w:cs="仿宋_GB2312" w:eastAsia="仿宋_GB2312"/>
              </w:rPr>
              <w:t>。</w:t>
            </w:r>
          </w:p>
          <w:p>
            <w:pPr>
              <w:pStyle w:val="null3"/>
            </w:pPr>
            <w:r>
              <w:rPr>
                <w:rFonts w:ascii="仿宋_GB2312" w:hAnsi="仿宋_GB2312" w:cs="仿宋_GB2312" w:eastAsia="仿宋_GB2312"/>
              </w:rPr>
              <w:t>三</w:t>
            </w:r>
            <w:r>
              <w:rPr>
                <w:rFonts w:ascii="仿宋_GB2312" w:hAnsi="仿宋_GB2312" w:cs="仿宋_GB2312" w:eastAsia="仿宋_GB2312"/>
              </w:rPr>
              <w:t>、技术要求</w:t>
            </w:r>
          </w:p>
          <w:p>
            <w:pPr>
              <w:pStyle w:val="null3"/>
            </w:pPr>
            <w:r>
              <w:rPr>
                <w:rFonts w:ascii="仿宋_GB2312" w:hAnsi="仿宋_GB2312" w:cs="仿宋_GB2312" w:eastAsia="仿宋_GB2312"/>
              </w:rPr>
              <w:t>按照《中华人民共和国环境影响评价法》《建设项目环境保护管理条例》及《规划环境影响评价技术导则总纲》（</w:t>
            </w:r>
            <w:r>
              <w:rPr>
                <w:rFonts w:ascii="仿宋_GB2312" w:hAnsi="仿宋_GB2312" w:cs="仿宋_GB2312" w:eastAsia="仿宋_GB2312"/>
              </w:rPr>
              <w:t>HJ130-2019）的要求，完成报告编制并通过评审。</w:t>
            </w:r>
          </w:p>
          <w:p>
            <w:pPr>
              <w:pStyle w:val="null3"/>
            </w:pPr>
            <w:r>
              <w:rPr>
                <w:rFonts w:ascii="仿宋_GB2312" w:hAnsi="仿宋_GB2312" w:cs="仿宋_GB2312" w:eastAsia="仿宋_GB2312"/>
              </w:rPr>
              <w:t>四</w:t>
            </w:r>
            <w:r>
              <w:rPr>
                <w:rFonts w:ascii="仿宋_GB2312" w:hAnsi="仿宋_GB2312" w:cs="仿宋_GB2312" w:eastAsia="仿宋_GB2312"/>
              </w:rPr>
              <w:t>、成果要求</w:t>
            </w:r>
          </w:p>
          <w:p>
            <w:pPr>
              <w:pStyle w:val="null3"/>
            </w:pPr>
            <w:r>
              <w:rPr>
                <w:rFonts w:ascii="仿宋_GB2312" w:hAnsi="仿宋_GB2312" w:cs="仿宋_GB2312" w:eastAsia="仿宋_GB2312"/>
              </w:rPr>
              <w:t>1.成果文件纸质版</w:t>
            </w:r>
          </w:p>
          <w:p>
            <w:pPr>
              <w:pStyle w:val="null3"/>
            </w:pPr>
            <w:r>
              <w:rPr>
                <w:rFonts w:ascii="仿宋_GB2312" w:hAnsi="仿宋_GB2312" w:cs="仿宋_GB2312" w:eastAsia="仿宋_GB2312"/>
              </w:rPr>
              <w:t>提供最终版《评估报告》及图纸（如有），所有纸质成果装订成册，满足采购人存档需求</w:t>
            </w:r>
            <w:r>
              <w:rPr>
                <w:rFonts w:ascii="仿宋_GB2312" w:hAnsi="仿宋_GB2312" w:cs="仿宋_GB2312" w:eastAsia="仿宋_GB2312"/>
              </w:rPr>
              <w:t>。</w:t>
            </w:r>
          </w:p>
          <w:p>
            <w:pPr>
              <w:pStyle w:val="null3"/>
            </w:pPr>
            <w:r>
              <w:rPr>
                <w:rFonts w:ascii="仿宋_GB2312" w:hAnsi="仿宋_GB2312" w:cs="仿宋_GB2312" w:eastAsia="仿宋_GB2312"/>
              </w:rPr>
              <w:t>2.成果文件电子版</w:t>
            </w:r>
          </w:p>
          <w:p>
            <w:pPr>
              <w:pStyle w:val="null3"/>
              <w:jc w:val="both"/>
            </w:pPr>
            <w:r>
              <w:rPr>
                <w:rFonts w:ascii="仿宋_GB2312" w:hAnsi="仿宋_GB2312" w:cs="仿宋_GB2312" w:eastAsia="仿宋_GB2312"/>
              </w:rPr>
              <w:t>报告书需符合审批部门要求，提供完整的编制资料电子文件（U盘及光盘），并配合完成后续审批手续。</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拟派项目负责人需具备环境工程或水土保持或社会学相关专业的工程师职业资格，并提供相关证书及劳动合同或社保证明；其他人员供应商根据服务要求自主填写。</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供应商根据服务要求自主填写。</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服务周期自合同签订之日起，至项目后期评估工作全部完成并提交最终评估成果且通过验收之日止。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铜川市生态环境局印台分局</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由采购人及相关部门按法定规划要求定期对项目进行阶段性验收。（2）验收标准：编制内容和深度应符合相关规范和标准的要求。（3）验收合格后，填写验收单，双方签字生效。（4）验收依据：合同文本；磋商文件及澄清函、投标文件；国家和行业制定的相应标准和规范；验收清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建设项目环境影响评价报告、社会稳定风险评估报告、水土保持方案编制完成后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经验收合格后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甲乙双方如因履行本协议发生争议，应通过友好协商解决。协商不成，将争议提交铜川仲裁委员会仲裁。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2024年度完整的财务审计报告（成立时间至提交响应文件截止时间不足一年的可提供成立后任意时段的资产负债表），或磋商截止日前六个月内其基本存款账户开户银行出具的资信证明。其他组织和自然人提供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提供2025年度至今已缴纳的至少一个月的纳税证明或完税证明，依法免税的单位应提供相关证明材料；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提供2025年度至今已缴存的至少一个月的社会保障资金缴存单据或社保机构开具的社会保险参保缴费情况证明，依法不需要缴纳社会保障资金的单位应提供相关证明材料；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供应商信用记录</w:t>
            </w:r>
          </w:p>
        </w:tc>
        <w:tc>
          <w:tcPr>
            <w:tcW w:type="dxa" w:w="3322"/>
          </w:tcPr>
          <w:p>
            <w:pPr>
              <w:pStyle w:val="null3"/>
            </w:pPr>
            <w:r>
              <w:rPr>
                <w:rFonts w:ascii="仿宋_GB2312" w:hAnsi="仿宋_GB2312" w:cs="仿宋_GB2312" w:eastAsia="仿宋_GB2312"/>
              </w:rPr>
              <w:t>供应商不得为‘信用中国’网站（http://www.creditchina.gov.cn）列入‘失信被执行人’或‘重大税收违法失信主体’，不得为中国政府采购网（http://www.ccgp.gov.cn）列入‘政府采购严重违法失信行为记录名单’。投标截止日当天，采购人或代理机构通过‘信用中国’网站、中国政府采购网查询供应商信用记录。若存在失信情形，投标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法定代表人授权委托书及被授权委托人身份证（法定代表人参加磋商只须提供法定代表人身份证）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项目负责人资格</w:t>
            </w:r>
          </w:p>
        </w:tc>
        <w:tc>
          <w:tcPr>
            <w:tcW w:type="dxa" w:w="3322"/>
          </w:tcPr>
          <w:p>
            <w:pPr>
              <w:pStyle w:val="null3"/>
            </w:pPr>
            <w:r>
              <w:rPr>
                <w:rFonts w:ascii="仿宋_GB2312" w:hAnsi="仿宋_GB2312" w:cs="仿宋_GB2312" w:eastAsia="仿宋_GB2312"/>
              </w:rPr>
              <w:t>拟派项目负责人需具备环境工程或水土保持或社会学相关专业的工程师职业资格，并提供相关证书及劳动合同或社保证明；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响应文件的签字、盖章符合磋商文件的要求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响应报价≤采购限价，且只能有一个有效报价，不得提交选择性报价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服务内容及服务邀请应答表 商务应答表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对本项目的实施背景、实施目的、实施意义等具备充分的认识。对本项目的总体认识定位准确，理解深刻，表述清晰，对项目实施的重点、难点把握精准计7分；对本项目的总体认识定位基本准确，表述清晰，对项目实施的重点、难点具有一定的认识计5分；对本项目的总体认识定位较准确，理解不够深刻，对项目实施的重点、难点把握有偏离计3分；项目认识及定位偏差大，把握不准计1分；相关内容未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总体服务 方案</w:t>
            </w:r>
          </w:p>
        </w:tc>
        <w:tc>
          <w:tcPr>
            <w:tcW w:type="dxa" w:w="2492"/>
          </w:tcPr>
          <w:p>
            <w:pPr>
              <w:pStyle w:val="null3"/>
            </w:pPr>
            <w:r>
              <w:rPr>
                <w:rFonts w:ascii="仿宋_GB2312" w:hAnsi="仿宋_GB2312" w:cs="仿宋_GB2312" w:eastAsia="仿宋_GB2312"/>
              </w:rPr>
              <w:t>一、评审内容 供应商针对本项目提供总体服务方案，包括但不限于①项目工作开展流程；②项目条例评估依据；③项目工作方式和方法；④项目条例评估报告、条例修改草案内容准确可靠。 二、评审标准 方案内容专门针对本项目编制，切合本项目实际情况及实施要求，内容与要点相符、每个要点均有展开详细的阐述且能够适用于本项目的计20分；评审内容每缺一项扣5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一、评审内容供应商针对本项目提供进度安排方案，包括但不限于①项目总体进度目标；②项目进度安排；③进度保障措施等。二、评审标准方案内容专门针对本项目编制，切合本项目实际情况及实施要求，内容与要点相符、每个要点均有展开详细的阐述且能够适用于本项目的计15分；评审内容每缺一项扣5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1.供应商拟派服务团队人员（项目负责人除外）：具有中级及以上职称并参与过生态环境或自然资源保护类项目，每有一人得1分，本项最多得5分，没有或未提供不得分。 2.供应商针对本项目的拟派人员岗位职责明确、人员分工合理、专业计5分；拟派人员岗位职责模糊、人员分工合理性一般、专业符合度一般计3分，评审内容每缺一项扣5分，扣完为止。 注：第1项提供人员职称等证明材料复印件加盖供应商公章。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供应商针对本项目提供质量控制方案，包括但不限于：①服务质量保证措施；②质量保证目标及方案；③质量保证承诺。 二、评审标准 方案内容专门针对本项目编制，切合本项目实际情况及实施要求，内容与要点相符、每个要点均有展开详细的阐述且能够适用于本项目的计15分；评审内容每缺一项扣5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合理化建议及承诺</w:t>
            </w:r>
          </w:p>
        </w:tc>
        <w:tc>
          <w:tcPr>
            <w:tcW w:type="dxa" w:w="2492"/>
          </w:tcPr>
          <w:p>
            <w:pPr>
              <w:pStyle w:val="null3"/>
            </w:pPr>
            <w:r>
              <w:rPr>
                <w:rFonts w:ascii="仿宋_GB2312" w:hAnsi="仿宋_GB2312" w:cs="仿宋_GB2312" w:eastAsia="仿宋_GB2312"/>
              </w:rPr>
              <w:t>对本项目实际情况，提出合理化建议及服务承诺。提出的合理化建议对本项目有实质性提升，且可实施性强，服务承诺内容全面、合理计6分；合理化建议实施性一般，服务承诺基本全面、合理计4分； 合理化建议实施性较差，服务承诺内容简单空泛计2分。无相关内容计0分。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后续服务方案</w:t>
            </w:r>
          </w:p>
        </w:tc>
        <w:tc>
          <w:tcPr>
            <w:tcW w:type="dxa" w:w="2492"/>
          </w:tcPr>
          <w:p>
            <w:pPr>
              <w:pStyle w:val="null3"/>
            </w:pPr>
            <w:r>
              <w:rPr>
                <w:rFonts w:ascii="仿宋_GB2312" w:hAnsi="仿宋_GB2312" w:cs="仿宋_GB2312" w:eastAsia="仿宋_GB2312"/>
              </w:rPr>
              <w:t>一、评审内容 供应商针对本项目提供后续服务方案，包含但不限于：①后续服务人员配备；②后期培训方案；③针对成果存在问题的解决措施等。 二、评审标准 方案内容专门针对本项目编制，切合本项目实际情况及实施要求，内容与要点相符、每个要点均有展开详细的阐述且能够适用于本项目的计12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供应商提供自2023年1月1日至今（以合同签订时间为准）类似项目业绩，响应文件中附有其业绩证明材料，业绩以合同为依据，每提供一个计2.5分，满分5分。（注：响应文件中提供复印件加盖供应商公章）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