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版本号：HGMHCG-2026-1220260424001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铜川市印台区投资指南和招商项目册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HGMHCG-2026-12</w:t>
      </w:r>
      <w:r>
        <w:br/>
      </w:r>
      <w:r>
        <w:br/>
      </w:r>
      <w:r>
        <w:br/>
      </w:r>
    </w:p>
    <w:p>
      <w:pPr>
        <w:pStyle w:val="null3"/>
        <w:jc w:val="center"/>
        <w:outlineLvl w:val="2"/>
      </w:pPr>
      <w:r>
        <w:rPr>
          <w:rFonts w:ascii="仿宋_GB2312" w:hAnsi="仿宋_GB2312" w:cs="仿宋_GB2312" w:eastAsia="仿宋_GB2312"/>
          <w:sz w:val="28"/>
          <w:b/>
        </w:rPr>
        <w:t>铜川市印台区对外经济合作中心</w:t>
      </w:r>
    </w:p>
    <w:p>
      <w:pPr>
        <w:pStyle w:val="null3"/>
        <w:jc w:val="center"/>
        <w:outlineLvl w:val="2"/>
      </w:pPr>
      <w:r>
        <w:rPr>
          <w:rFonts w:ascii="仿宋_GB2312" w:hAnsi="仿宋_GB2312" w:cs="仿宋_GB2312" w:eastAsia="仿宋_GB2312"/>
          <w:sz w:val="28"/>
          <w:b/>
        </w:rPr>
        <w:t>陕西恒广茂禾项目管理有限公司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陕西恒广茂禾项目管理有限公司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铜川市印台区对外经济合作中心</w:t>
      </w:r>
      <w:r>
        <w:rPr>
          <w:rFonts w:ascii="仿宋_GB2312" w:hAnsi="仿宋_GB2312" w:cs="仿宋_GB2312" w:eastAsia="仿宋_GB2312"/>
        </w:rPr>
        <w:t>委托，拟对</w:t>
      </w:r>
      <w:r>
        <w:rPr>
          <w:rFonts w:ascii="仿宋_GB2312" w:hAnsi="仿宋_GB2312" w:cs="仿宋_GB2312" w:eastAsia="仿宋_GB2312"/>
        </w:rPr>
        <w:t>铜川市印台区投资指南和招商项目册</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HGMHCG-2026-12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铜川市印台区投资指南和招商项目册</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铜川市印台区投资指南和招商项目册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采购包1（铜川市印台区投资指南和招商项目册）：属于专门面向中小企业采购。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3、依法缴纳税收和社会保障资金相关材料（磋商截止日前六个月内任意一个月）：依法缴纳税收和社会保障资金相关材料（磋商截止日前六个月内任意一个月）。</w:t>
      </w:r>
    </w:p>
    <w:p>
      <w:pPr>
        <w:pStyle w:val="null3"/>
      </w:pPr>
      <w:r>
        <w:rPr>
          <w:rFonts w:ascii="仿宋_GB2312" w:hAnsi="仿宋_GB2312" w:cs="仿宋_GB2312" w:eastAsia="仿宋_GB2312"/>
        </w:rPr>
        <w:t>4、供应商需提供2024或2025年度财务审计报告或提供文件递交截止日前三个月内从基本户银行开具的资信证明：供应商需提供2024或2025年度财务审计报告或提供文件递交截止日前三个月内从基本户银行开具的资信证明。</w:t>
      </w:r>
    </w:p>
    <w:p>
      <w:pPr>
        <w:pStyle w:val="null3"/>
      </w:pPr>
      <w:r>
        <w:rPr>
          <w:rFonts w:ascii="仿宋_GB2312" w:hAnsi="仿宋_GB2312" w:cs="仿宋_GB2312" w:eastAsia="仿宋_GB2312"/>
        </w:rPr>
        <w:t>5、法定代表人直接参加磋商的，须出具法人身份证；授权代表参加磋商的，须出具授权书及授权代表身份证：法定代表人直接参加磋商的，须出具法人身份证；授权代表参加磋商的，须出具授权书及授权代表身份证。</w:t>
      </w:r>
    </w:p>
    <w:p>
      <w:pPr>
        <w:pStyle w:val="null3"/>
      </w:pPr>
      <w:r>
        <w:rPr>
          <w:rFonts w:ascii="仿宋_GB2312" w:hAnsi="仿宋_GB2312" w:cs="仿宋_GB2312" w:eastAsia="仿宋_GB2312"/>
        </w:rPr>
        <w:t>6、供应商出具本企业参加政府采购活动前三年内经营活动中没有重大违法记录的书面声明：供应商出具本企业参加政府采购活动前三年内经营活动中没有重大违法记录的书面声明。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铜川市印台区对外经济合作中心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0919-4182486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陕西恒广茂禾项目管理有限公司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陕西省铜川市新区长虹南路山水雅庭6幢1单元301室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15353839221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采购包1：339,976.00元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铜川市印台区对外经济合作中心</w:t>
      </w:r>
      <w:r>
        <w:rPr>
          <w:rFonts w:ascii="仿宋_GB2312" w:hAnsi="仿宋_GB2312" w:cs="仿宋_GB2312" w:eastAsia="仿宋_GB2312"/>
        </w:rPr>
        <w:t>和</w:t>
      </w:r>
      <w:r>
        <w:rPr>
          <w:rFonts w:ascii="仿宋_GB2312" w:hAnsi="仿宋_GB2312" w:cs="仿宋_GB2312" w:eastAsia="仿宋_GB2312"/>
        </w:rPr>
        <w:t>陕西恒广茂禾项目管理有限公司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铜川市印台区对外经济合作中心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陕西恒广茂禾项目管理有限公司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铜川市印台区对外经济合作中心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陕西恒广茂禾项目管理有限公司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满足采购人使用要求。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联系电话：15353839221</w:t>
      </w:r>
    </w:p>
    <w:p>
      <w:pPr>
        <w:pStyle w:val="null3"/>
      </w:pPr>
      <w:r>
        <w:rPr>
          <w:rFonts w:ascii="仿宋_GB2312" w:hAnsi="仿宋_GB2312" w:cs="仿宋_GB2312" w:eastAsia="仿宋_GB2312"/>
        </w:rPr>
        <w:t>地址：陕西省铜川市新区长虹南路山水雅庭6幢1单元301室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铜川市印台区投资指南和招商项目册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339,976.00</w:t>
      </w:r>
    </w:p>
    <w:p>
      <w:pPr>
        <w:pStyle w:val="null3"/>
      </w:pPr>
      <w:r>
        <w:rPr>
          <w:rFonts w:ascii="仿宋_GB2312" w:hAnsi="仿宋_GB2312" w:cs="仿宋_GB2312" w:eastAsia="仿宋_GB2312"/>
        </w:rPr>
        <w:t>采购包最高限价（元）: 339,976.00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铜川市印台区投资指南和招商项目册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339,976.00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标的名称：铜川市印台区投资指南和招商项目册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一、纸本要求：</w:t>
            </w:r>
          </w:p>
          <w:p>
            <w:pPr>
              <w:pStyle w:val="null3"/>
              <w:jc w:val="both"/>
            </w:pPr>
            <w:r>
              <w:rPr>
                <w:rFonts w:ascii="仿宋_GB2312" w:hAnsi="仿宋_GB2312" w:cs="仿宋_GB2312" w:eastAsia="仿宋_GB2312"/>
                <w:sz w:val="21"/>
              </w:rPr>
              <w:t>纸张成品尺寸：210*285mm。内文纸张为200克铜版纸四色印刷。</w:t>
            </w:r>
          </w:p>
          <w:p>
            <w:pPr>
              <w:pStyle w:val="null3"/>
              <w:jc w:val="both"/>
            </w:pPr>
            <w:r>
              <w:rPr>
                <w:rFonts w:ascii="仿宋_GB2312" w:hAnsi="仿宋_GB2312" w:cs="仿宋_GB2312" w:eastAsia="仿宋_GB2312"/>
                <w:sz w:val="21"/>
              </w:rPr>
              <w:t>封面及封底纸张为300克哑粉纸四色印刷。</w:t>
            </w:r>
          </w:p>
          <w:p>
            <w:pPr>
              <w:pStyle w:val="null3"/>
              <w:jc w:val="both"/>
            </w:pPr>
            <w:r>
              <w:rPr>
                <w:rFonts w:ascii="仿宋_GB2312" w:hAnsi="仿宋_GB2312" w:cs="仿宋_GB2312" w:eastAsia="仿宋_GB2312"/>
                <w:sz w:val="21"/>
              </w:rPr>
              <w:t>二、装订要求：锁线胶装。</w:t>
            </w:r>
          </w:p>
          <w:p>
            <w:pPr>
              <w:pStyle w:val="null3"/>
              <w:jc w:val="both"/>
            </w:pPr>
            <w:r>
              <w:rPr>
                <w:rFonts w:ascii="仿宋_GB2312" w:hAnsi="仿宋_GB2312" w:cs="仿宋_GB2312" w:eastAsia="仿宋_GB2312"/>
                <w:sz w:val="21"/>
              </w:rPr>
              <w:t>三、印刷数量：指南册：1300册；项目册：1300册。</w:t>
            </w:r>
          </w:p>
          <w:p>
            <w:pPr>
              <w:pStyle w:val="null3"/>
              <w:jc w:val="both"/>
            </w:pPr>
            <w:r>
              <w:rPr>
                <w:rFonts w:ascii="仿宋_GB2312" w:hAnsi="仿宋_GB2312" w:cs="仿宋_GB2312" w:eastAsia="仿宋_GB2312"/>
                <w:sz w:val="21"/>
              </w:rPr>
              <w:t>四、设计制作要求：</w:t>
            </w:r>
          </w:p>
          <w:p>
            <w:pPr>
              <w:pStyle w:val="null3"/>
              <w:jc w:val="both"/>
            </w:pPr>
            <w:r>
              <w:rPr>
                <w:rFonts w:ascii="仿宋_GB2312" w:hAnsi="仿宋_GB2312" w:cs="仿宋_GB2312" w:eastAsia="仿宋_GB2312"/>
                <w:sz w:val="21"/>
              </w:rPr>
              <w:t>1、对印台地区全域的地理位置定位、对地形、地貌、生态、水文、物产、资源 、工业、农业、交通、人力通讯、电力、治安、营商等，按新发展作局部调研更新。</w:t>
            </w:r>
          </w:p>
          <w:p>
            <w:pPr>
              <w:pStyle w:val="null3"/>
              <w:jc w:val="both"/>
            </w:pPr>
            <w:r>
              <w:rPr>
                <w:rFonts w:ascii="仿宋_GB2312" w:hAnsi="仿宋_GB2312" w:cs="仿宋_GB2312" w:eastAsia="仿宋_GB2312"/>
                <w:sz w:val="21"/>
              </w:rPr>
              <w:t>2、对印台城市的最新发展趋势做出城市定位，编写内容，做出结合且符合最新发展需求的项目产品进行局部更新设计、编排。</w:t>
            </w:r>
          </w:p>
          <w:p>
            <w:pPr>
              <w:pStyle w:val="null3"/>
              <w:jc w:val="both"/>
            </w:pPr>
            <w:r>
              <w:rPr>
                <w:rFonts w:ascii="仿宋_GB2312" w:hAnsi="仿宋_GB2312" w:cs="仿宋_GB2312" w:eastAsia="仿宋_GB2312"/>
                <w:sz w:val="21"/>
              </w:rPr>
              <w:t>3、对印台智慧城市、科技、文旅、教育、职能做出产品延伸定位。</w:t>
            </w:r>
          </w:p>
          <w:p>
            <w:pPr>
              <w:pStyle w:val="null3"/>
              <w:jc w:val="both"/>
            </w:pPr>
            <w:r>
              <w:rPr>
                <w:rFonts w:ascii="仿宋_GB2312" w:hAnsi="仿宋_GB2312" w:cs="仿宋_GB2312" w:eastAsia="仿宋_GB2312"/>
                <w:sz w:val="21"/>
              </w:rPr>
              <w:t>4、对版面的设计、文字稿组织、图片采集、设计、制作、排版等做局部更新。</w:t>
            </w:r>
          </w:p>
          <w:p>
            <w:pPr>
              <w:pStyle w:val="null3"/>
              <w:jc w:val="both"/>
            </w:pPr>
            <w:r>
              <w:rPr>
                <w:rFonts w:ascii="仿宋_GB2312" w:hAnsi="仿宋_GB2312" w:cs="仿宋_GB2312" w:eastAsia="仿宋_GB2312"/>
                <w:sz w:val="21"/>
              </w:rPr>
              <w:t>5、编制完成40组项目以上不少于40组内容设计、制作、排版、印刷、装订、交付。</w:t>
            </w:r>
          </w:p>
          <w:p>
            <w:pPr>
              <w:pStyle w:val="null3"/>
              <w:jc w:val="both"/>
            </w:pPr>
            <w:r>
              <w:rPr>
                <w:rFonts w:ascii="仿宋_GB2312" w:hAnsi="仿宋_GB2312" w:cs="仿宋_GB2312" w:eastAsia="仿宋_GB2312"/>
                <w:sz w:val="21"/>
              </w:rPr>
              <w:t>五、知识产权约定：</w:t>
            </w:r>
          </w:p>
          <w:p>
            <w:pPr>
              <w:pStyle w:val="null3"/>
              <w:jc w:val="both"/>
            </w:pPr>
            <w:r>
              <w:rPr>
                <w:rFonts w:ascii="仿宋_GB2312" w:hAnsi="仿宋_GB2312" w:cs="仿宋_GB2312" w:eastAsia="仿宋_GB2312"/>
                <w:sz w:val="21"/>
              </w:rPr>
              <w:t>内容策划、版面设计、图文编校、排版印刷及成交供应商组织人员设计、创作过程中产生的项目、作品、文本、图片的著作权，归采购人所有。</w:t>
            </w:r>
          </w:p>
          <w:p>
            <w:pPr>
              <w:pStyle w:val="null3"/>
              <w:jc w:val="both"/>
            </w:pPr>
            <w:r>
              <w:rPr>
                <w:rFonts w:ascii="仿宋_GB2312" w:hAnsi="仿宋_GB2312" w:cs="仿宋_GB2312" w:eastAsia="仿宋_GB2312"/>
                <w:sz w:val="21"/>
              </w:rPr>
              <w:t>六、服务期：合同签订之日起9日历天</w:t>
            </w:r>
          </w:p>
          <w:p>
            <w:pPr>
              <w:pStyle w:val="null3"/>
              <w:jc w:val="both"/>
            </w:pPr>
            <w:r>
              <w:rPr>
                <w:rFonts w:ascii="仿宋_GB2312" w:hAnsi="仿宋_GB2312" w:cs="仿宋_GB2312" w:eastAsia="仿宋_GB2312"/>
                <w:sz w:val="21"/>
              </w:rPr>
              <w:t>七、服务地点：采购人指定地点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具有项目专业人员配置。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双方签订合同时具体约定。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完成交付（支付方式双方签订合同时具体约定）</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合同执行中发生争议的，当事人双方应协商解决。协商达不成一致时，可向同级行政仲裁机关申请仲裁。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依法缴纳税收和社会保障资金相关材料（磋商截止日前六个月内任意一个月）</w:t>
            </w:r>
          </w:p>
        </w:tc>
        <w:tc>
          <w:tcPr>
            <w:tcW w:type="dxa" w:w="3322"/>
          </w:tcPr>
          <w:p>
            <w:pPr>
              <w:pStyle w:val="null3"/>
            </w:pPr>
            <w:r>
              <w:rPr>
                <w:rFonts w:ascii="仿宋_GB2312" w:hAnsi="仿宋_GB2312" w:cs="仿宋_GB2312" w:eastAsia="仿宋_GB2312"/>
              </w:rPr>
              <w:t>依法缴纳税收和社会保障资金相关材料（磋商截止日前六个月内任意一个月）。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法定代表人直接参加磋商的，须出具法人身份证；授权代表参加磋商的，须出具授权书及授权代表身份证</w:t>
            </w:r>
          </w:p>
        </w:tc>
        <w:tc>
          <w:tcPr>
            <w:tcW w:type="dxa" w:w="3322"/>
          </w:tcPr>
          <w:p>
            <w:pPr>
              <w:pStyle w:val="null3"/>
            </w:pPr>
            <w:r>
              <w:rPr>
                <w:rFonts w:ascii="仿宋_GB2312" w:hAnsi="仿宋_GB2312" w:cs="仿宋_GB2312" w:eastAsia="仿宋_GB2312"/>
              </w:rPr>
              <w:t>法定代表人直接参加磋商的，须出具法人身份证；授权代表参加磋商的，须出具授权书及授权代表身份证。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评审内容：供应商针对本次项目提供具体详细可行的服务方案，内容包括：①文案创意、策划方案②整体设想规划、解决方案③组织实施情况④整体实施方案。 评审标准：各部分内容全面详细、阐述条理清晰详尽、符合本项目采购需求，能保障本项目实施得15分；评审内容每缺一项扣5分，评审内容有缺陷未完全响应评审标准的每有一项缺陷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评审内容：供应商提供针对本项目所配备的人员及设备，内容包括：①服务团队 ②内部职责分工③印刷机械配备方案。评审标准：各部分内容全面详细、阐述条理清晰详尽、符合本项目采购需求，能保障本项目实施得15分；评审内容每缺一项扣5分，评审内容有缺陷未完全响应评审标准的每有一项缺陷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评审内容：供应商针对本次项目制定进度计划方案，内容包括：①项目实施②工作内容安排③进度保障措施。 评审标准：各部分内容全面详细、阐述条理清晰详尽、符合本项目采购需求，能保障本项目实施得15分；评审内容每缺一项扣5分，评审内容有缺陷未完全响应评审标准的每有一项缺陷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实施过程中可能出现的突发事件提供应急方案（包括但不限于①应急事件分类；②应急机制；③应急响应时间；④应急人员；⑤应急保障措施等）。方案各部分内容全面详细、阐述条理清晰详尽、符合本项目采购需求，能有效保障本项目实施的计15分，每有一个缺项扣3分，每有一项内容不完整或有缺陷或与项目不匹配的，扣1分，扣完为止。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服务质量控制措施</w:t>
            </w:r>
          </w:p>
        </w:tc>
        <w:tc>
          <w:tcPr>
            <w:tcW w:type="dxa" w:w="2492"/>
          </w:tcPr>
          <w:p>
            <w:pPr>
              <w:pStyle w:val="null3"/>
            </w:pPr>
            <w:r>
              <w:rPr>
                <w:rFonts w:ascii="仿宋_GB2312" w:hAnsi="仿宋_GB2312" w:cs="仿宋_GB2312" w:eastAsia="仿宋_GB2312"/>
              </w:rPr>
              <w:t>评审内容：供应商应针对本项目提供完善的服务质量保证措施。内容报告：①质量管理体系②成品交付质量保证措施③服务承诺；评审标准：各部分内容全面详细、阐述条理清晰详尽、符合本项目采购需求，能保障本项目实施得15分；评审内容每缺一项扣5分，评审内容有缺陷未完全响应评审标准的每有一项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评审内容：供应商应针对本项目提供完善的服务承诺及合理化建议。内容报告： ①服务承诺②合理化建议； 评审标准：各部分内容全面详细、阐述条理清晰详尽、符合本项目采购需求，能保障本项目实施得8分；评审内容每缺一项扣4分，评审内容有缺陷未完全响应评审标准的每有一项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重难点问题解决方案</w:t>
            </w:r>
          </w:p>
        </w:tc>
        <w:tc>
          <w:tcPr>
            <w:tcW w:type="dxa" w:w="2492"/>
          </w:tcPr>
          <w:p>
            <w:pPr>
              <w:pStyle w:val="null3"/>
            </w:pPr>
            <w:r>
              <w:rPr>
                <w:rFonts w:ascii="仿宋_GB2312" w:hAnsi="仿宋_GB2312" w:cs="仿宋_GB2312" w:eastAsia="仿宋_GB2312"/>
              </w:rPr>
              <w:t>根据现有重点难点问题， 提出可操作性的对策建议；评审标准：方案各部分内容全面详细、阐述条理清晰详尽、符合本项目采购需求得5分；评审内容缺项5分，扣完为止；评审内容有一项内容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 供应商提供2023年至今（以合同签订日期为准）类似项目业绩，以合同复印件为准，每一份计0.5分，最多计2分。评审标准：业绩证明材料（以磋商响应文件中提供的合同复印件为准）。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采用低价优先法计算，即满足磋商文件要求且投标价格最低的投标报价为评标基准价，按照下列公式计算： 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 府 采 购 合 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