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版本号：DXJX2026040520260413001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2026年印台区省级现代农业产业园建设方案编制购买服务项目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DXJX20260405</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陕西鼎信佳祥项目管理有限公司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陕西鼎信佳祥项目管理有限公司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2026年印台区省级现代农业产业园建设方案编制购买服务项目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DXJX20260405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2026年印台区省级现代农业产业园建设方案编制购买服务项目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编制《印台区省级现代农业产业园建设方案》、《印台区省级现代农业产业园财政奖补资金使用方案》等前期相关资料。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采购包1（2026年印台区省级现代农业产业园建设方案编制购买服务项目）：属于专门面向中小企业采购。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2、财务状况报告：(1)提供2024年或2025年度经审计的财务报告（须包含：资产负债表、现金流量表、利润表、所有者权益变动表、财务报表附注、审计公司证照及经办注册会计师资格证书） (2)开标前3个月内基本账户银行出具的资信证明（附开户行许可证或基本存款账户信息）。（以上两种形式的资料提供任何一种即可）；</w:t>
      </w:r>
    </w:p>
    <w:p>
      <w:pPr>
        <w:pStyle w:val="null3"/>
      </w:pPr>
      <w:r>
        <w:rPr>
          <w:rFonts w:ascii="仿宋_GB2312" w:hAnsi="仿宋_GB2312" w:cs="仿宋_GB2312" w:eastAsia="仿宋_GB2312"/>
        </w:rPr>
        <w:t>3、税收缴纳证明：提供递交投标文件截止之日前6个月内任意一个月的纳税证明或完税证明，依法免税的单位应提供相关证明材料；</w:t>
      </w:r>
    </w:p>
    <w:p>
      <w:pPr>
        <w:pStyle w:val="null3"/>
      </w:pPr>
      <w:r>
        <w:rPr>
          <w:rFonts w:ascii="仿宋_GB2312" w:hAnsi="仿宋_GB2312" w:cs="仿宋_GB2312" w:eastAsia="仿宋_GB2312"/>
        </w:rPr>
        <w:t>4、社会保障资金缴存证明：提供递交投标文件截止之日前6个月内任意一个月的社会保障资金缴存单据或社保机构开具的社会保险参保缴费情况证明，依法不需要缴纳社会保障资金的单位应提供相关证明材料；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6、具有履行合同所必须的设备和专业技术能力：提供具有履行合同所必须的设备和专业技术能力的承诺函；</w:t>
      </w:r>
    </w:p>
    <w:p>
      <w:pPr>
        <w:pStyle w:val="null3"/>
      </w:pPr>
      <w:r>
        <w:rPr>
          <w:rFonts w:ascii="仿宋_GB2312" w:hAnsi="仿宋_GB2312" w:cs="仿宋_GB2312" w:eastAsia="仿宋_GB2312"/>
        </w:rPr>
        <w:t>7、法定代表人授权书：法定代表人参加投标的，提供法定代表人身份证明并出示身份证原件；法定代表人授权他人参加投标的，提供法定代表人委托授权书并出示被授权代表的身份证原件；</w:t>
      </w:r>
    </w:p>
    <w:p>
      <w:pPr>
        <w:pStyle w:val="null3"/>
      </w:pPr>
      <w:r>
        <w:rPr>
          <w:rFonts w:ascii="仿宋_GB2312" w:hAnsi="仿宋_GB2312" w:cs="仿宋_GB2312" w:eastAsia="仿宋_GB2312"/>
        </w:rPr>
        <w:t>8、企业资质：投标人须具备下列资质条件之一： （1）具有工程设计综合甲级资质或工程设计农林行业乙级及以上资质或工程设计农林行业（农业综合开发生态工程）专业乙级及以上资质； （2）具有工程咨询单位乙级及以上资信证书，业务范围包含农业； （3）具有城乡规划编制乙级及以上资质。</w:t>
      </w:r>
    </w:p>
    <w:p>
      <w:pPr>
        <w:pStyle w:val="null3"/>
      </w:pPr>
      <w:r>
        <w:rPr>
          <w:rFonts w:ascii="仿宋_GB2312" w:hAnsi="仿宋_GB2312" w:cs="仿宋_GB2312" w:eastAsia="仿宋_GB2312"/>
        </w:rPr>
        <w:t>9、企业信誉：供应商未被列入“中国执行信息公开网”（http://zxgk.court.gov.cn/shixin/）失信被执行人名单，未被列入“信用中国”网站（www.creditchina.gov.cn）重大税收违法失信主体，未被列入“中国政府采购网”（www.ccgp.gov.cn）政府采购严重违法失信行为记录名单；（以上提供网页查询截图）</w:t>
      </w:r>
    </w:p>
    <w:p>
      <w:pPr>
        <w:pStyle w:val="null3"/>
      </w:pPr>
      <w:r>
        <w:rPr>
          <w:rFonts w:ascii="仿宋_GB2312" w:hAnsi="仿宋_GB2312" w:cs="仿宋_GB2312" w:eastAsia="仿宋_GB2312"/>
        </w:rPr>
        <w:t>10、控股、管理关系：单位负责人为同一人或存在直接控股、管理关系的不同单位，不得同时参加本项目投标活动；</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0919-4180331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陕西鼎信佳祥项目管理有限公司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陕西省西咸新区秦汉新城窑店街道办毛王村九祖765号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029-38940041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发改价格【2011】534号中的规定，按差额定率累进法计算，以中标通知书确定的中标金额作为收费计算依据。经甲乙双方协商后决定，由中标（成交）人在领取中标（成交）通知书前向采购代理机构一次性支付。招标代理服务费支付方式：银行转账或现金方式收款单位：陕西鼎信佳祥项目管理有限公司 开户银行：中国农业银行股份有限公司咸阳世纪大道支行 银行账号：2649 3001 0400 1543 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陕西鼎信佳祥项目管理有限公司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陕西鼎信佳祥项目管理有限公司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陕西鼎信佳祥项目管理有限公司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联系人：贺佳</w:t>
      </w:r>
    </w:p>
    <w:p>
      <w:pPr>
        <w:pStyle w:val="null3"/>
      </w:pPr>
      <w:r>
        <w:rPr>
          <w:rFonts w:ascii="仿宋_GB2312" w:hAnsi="仿宋_GB2312" w:cs="仿宋_GB2312" w:eastAsia="仿宋_GB2312"/>
        </w:rPr>
        <w:t>联系电话：029-38940041</w:t>
      </w:r>
    </w:p>
    <w:p>
      <w:pPr>
        <w:pStyle w:val="null3"/>
      </w:pPr>
      <w:r>
        <w:rPr>
          <w:rFonts w:ascii="仿宋_GB2312" w:hAnsi="仿宋_GB2312" w:cs="仿宋_GB2312" w:eastAsia="仿宋_GB2312"/>
        </w:rPr>
        <w:t>地址：陕西省西咸新区秦汉新城窑店街道办毛王村九祖765号</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编制《印台区省级现代农业产业园建设方案》、《印台区省级现代农业产业园财政奖补资金使用方案》等前期相关资料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方案编制服务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标的名称：方案编制服务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b/>
              </w:rPr>
              <w:t>一、成果文件</w:t>
            </w:r>
          </w:p>
          <w:p>
            <w:pPr>
              <w:pStyle w:val="null3"/>
              <w:ind w:firstLine="420"/>
            </w:pPr>
            <w:r>
              <w:rPr>
                <w:rFonts w:ascii="仿宋_GB2312" w:hAnsi="仿宋_GB2312" w:cs="仿宋_GB2312" w:eastAsia="仿宋_GB2312"/>
                <w:sz w:val="21"/>
              </w:rPr>
              <w:t>所有成果文件均提供纸质版</w:t>
            </w:r>
            <w:r>
              <w:rPr>
                <w:rFonts w:ascii="仿宋_GB2312" w:hAnsi="仿宋_GB2312" w:cs="仿宋_GB2312" w:eastAsia="仿宋_GB2312"/>
                <w:sz w:val="21"/>
              </w:rPr>
              <w:t>及电子版，数量符合项目申报指南要求。</w:t>
            </w:r>
          </w:p>
          <w:p>
            <w:pPr>
              <w:pStyle w:val="null3"/>
            </w:pPr>
            <w:r>
              <w:rPr>
                <w:rFonts w:ascii="仿宋_GB2312" w:hAnsi="仿宋_GB2312" w:cs="仿宋_GB2312" w:eastAsia="仿宋_GB2312"/>
                <w:sz w:val="21"/>
                <w:b/>
              </w:rPr>
              <w:t>二、商务要求</w:t>
            </w:r>
          </w:p>
          <w:p>
            <w:pPr>
              <w:pStyle w:val="null3"/>
              <w:ind w:firstLine="420"/>
            </w:pPr>
            <w:r>
              <w:rPr>
                <w:rFonts w:ascii="仿宋_GB2312" w:hAnsi="仿宋_GB2312" w:cs="仿宋_GB2312" w:eastAsia="仿宋_GB2312"/>
                <w:sz w:val="21"/>
              </w:rPr>
              <w:t>1、付款方式：</w:t>
            </w:r>
            <w:r>
              <w:rPr>
                <w:rFonts w:ascii="仿宋_GB2312" w:hAnsi="仿宋_GB2312" w:cs="仿宋_GB2312" w:eastAsia="仿宋_GB2312"/>
                <w:sz w:val="21"/>
              </w:rPr>
              <w:t>合同签订后，支</w:t>
            </w:r>
            <w:r>
              <w:rPr>
                <w:rFonts w:ascii="仿宋_GB2312" w:hAnsi="仿宋_GB2312" w:cs="仿宋_GB2312" w:eastAsia="仿宋_GB2312"/>
                <w:sz w:val="21"/>
              </w:rPr>
              <w:t>付总价款的50%。乙方提交成果文件并经甲方验收合格后，支付合同总价款的50%。</w:t>
            </w:r>
          </w:p>
          <w:p>
            <w:pPr>
              <w:pStyle w:val="null3"/>
              <w:ind w:firstLine="420"/>
            </w:pPr>
            <w:r>
              <w:rPr>
                <w:rFonts w:ascii="仿宋_GB2312" w:hAnsi="仿宋_GB2312" w:cs="仿宋_GB2312" w:eastAsia="仿宋_GB2312"/>
                <w:sz w:val="21"/>
              </w:rPr>
              <w:t>2、服务期限：合同签订后30日。</w:t>
            </w:r>
          </w:p>
          <w:p>
            <w:pPr>
              <w:pStyle w:val="null3"/>
              <w:ind w:firstLine="420"/>
            </w:pPr>
            <w:r>
              <w:rPr>
                <w:rFonts w:ascii="仿宋_GB2312" w:hAnsi="仿宋_GB2312" w:cs="仿宋_GB2312" w:eastAsia="仿宋_GB2312"/>
                <w:sz w:val="21"/>
              </w:rPr>
              <w:t>3、服务地点：陕西省铜川市</w:t>
            </w:r>
          </w:p>
          <w:p>
            <w:pPr>
              <w:pStyle w:val="null3"/>
            </w:pPr>
            <w:r>
              <w:rPr>
                <w:rFonts w:ascii="仿宋_GB2312" w:hAnsi="仿宋_GB2312" w:cs="仿宋_GB2312" w:eastAsia="仿宋_GB2312"/>
                <w:sz w:val="21"/>
              </w:rPr>
              <w:t xml:space="preserve">       4、质量标准：符合国家及行业质量验收合格标准。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严格按照本项目招标文件、成交供应商响应文件、已签订的合同文本及国家/行业相关标准及规范等要求进行验收。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提交成果文件，并经甲方验收合格后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(1)提供2024年或2025年度经审计的财务报告（须包含：资产负债表、现金流量表、利润表、所有者权益变动表、财务报表附注、审计公司证照及经办注册会计师资格证书） (2)开标前3个月内基本账户银行出具的资信证明（附开户行许可证或基本存款账户信息）。（以上两种形式的资料提供任何一种即可）；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提供递交投标文件截止之日前6个月内任意一个月的纳税证明或完税证明，依法免税的单位应提供相关证明材料；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提供递交投标文件截止之日前6个月内任意一个月的社会保障资金缴存单据或社保机构开具的社会保险参保缴费情况证明，依法不需要缴纳社会保障资金的单位应提供相关证明材料；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法定代表人参加投标的，提供法定代表人身份证明并出示身份证原件；法定代表人授权他人参加投标的，提供法定代表人委托授权书并出示被授权代表的身份证原件；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投标人须具备下列资质条件之一： （1）具有工程设计综合甲级资质或工程设计农林行业乙级及以上资质或工程设计农林行业（农业综合开发生态工程）专业乙级及以上资质； （2）具有工程咨询单位乙级及以上资信证书，业务范围包含农业； （3）具有城乡规划编制乙级及以上资质。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以上提供网页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投标文件、投标函按要求加盖供应商公章和未经法定代表人或被授权人签字（或盖章）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供应商名称或组织机构与文件中营业执照名称一致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只能有一个有效报价，不得提交选择性报价，报价不超过预算金额或不超过最高限价或评审小组认为低于成本价的报价。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项目认知与需求理解</w:t>
            </w:r>
          </w:p>
        </w:tc>
        <w:tc>
          <w:tcPr>
            <w:tcW w:type="dxa" w:w="2492"/>
          </w:tcPr>
          <w:p>
            <w:pPr>
              <w:pStyle w:val="null3"/>
            </w:pPr>
            <w:r>
              <w:rPr>
                <w:rFonts w:ascii="仿宋_GB2312" w:hAnsi="仿宋_GB2312" w:cs="仿宋_GB2312" w:eastAsia="仿宋_GB2312"/>
              </w:rPr>
              <w:t>1.充分理解本项目的建设背景、现有基础、主导产业优势及产业链完善等核心需求，能准确阐述印台区省级产业园现有基础、主导产业具体类型，对项目现状和整体认知清晰明确，得3分；2.基本理解项目核心需求，能阐述项目主要背景及核心目标，对项目现状和整体认知较为清晰，细节有少量优化空间，得2分；3.对项目核心需求（产业链完善、省级标准对接等）理解不透彻，无法准确阐述项目现有基础及主导产业，对项目现状认知模糊，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政策解读与标准对接能力</w:t>
            </w:r>
          </w:p>
        </w:tc>
        <w:tc>
          <w:tcPr>
            <w:tcW w:type="dxa" w:w="2492"/>
          </w:tcPr>
          <w:p>
            <w:pPr>
              <w:pStyle w:val="null3"/>
            </w:pPr>
            <w:r>
              <w:rPr>
                <w:rFonts w:ascii="仿宋_GB2312" w:hAnsi="仿宋_GB2312" w:cs="仿宋_GB2312" w:eastAsia="仿宋_GB2312"/>
              </w:rPr>
              <w:t>针对本项目编制需求，能准确解读陕西省省级现代农业产业园创建相关政策、财政奖补资金管理相关规定，明确两个方案编制需对接的省级标准、核心指标，结合政策要求提出针对性编制思路，得3分；能基本解读相关政策及标准，明确核心对接要点，但未结合编制需求提出具体思路，得2分；仅能简单提及相关政策，无法明确标准对接要点，得1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印台区省级现代农业产业园建设方案》包括但不限于：①产业布局；②建设内容；③实施计划；④效益分析等；2.《印台区省级现代农业产业园财政奖补资金使用方案》包括但不限于：①资金分配；②使用范围；③监管措施；④绩效目标等。方案科学合理、切实可行、针对性强且不缺项得16分，每有一项缺项扣2分，每有一处内容存在缺陷，扣0.5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项目进度保障方案</w:t>
            </w:r>
          </w:p>
        </w:tc>
        <w:tc>
          <w:tcPr>
            <w:tcW w:type="dxa" w:w="2492"/>
          </w:tcPr>
          <w:p>
            <w:pPr>
              <w:pStyle w:val="null3"/>
            </w:pPr>
            <w:r>
              <w:rPr>
                <w:rFonts w:ascii="仿宋_GB2312" w:hAnsi="仿宋_GB2312" w:cs="仿宋_GB2312" w:eastAsia="仿宋_GB2312"/>
              </w:rPr>
              <w:t>内容包括但不限于：①项目整体进度规划；②进度保障措施。方案科学合理、切实可行、针对性强且不缺项得4分，每有一项缺项扣2分，每有一处内容存在缺陷，扣0.5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内容包含但不限于：①质量保障措施；②质量控制流程；③审核机制等。方案切合本项目实际情况，条理清晰，内容完整、详实、合理得6分；每缺少一项内容扣2分，每有一处内容存在缺陷，扣0.5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包括但不限于：①团队人员配置清单、②工作职责划分、③团队成员的稳定性及替补机制等内容。方案切合本项目实际情况，条理清晰，内容完整、详实、合理得6分，每有一项缺项扣2分，每有一处内容存在缺陷，扣0.5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派项目负责人具有农业相关专业高级职称的得2分，中级职称得1分。2.项目负责人具有类似方案编制业绩，每提供1个得1分，最高2分；提供以下任意一项即可：合同关键页（含项目名称、服务内容、负责人姓名、双方盖章）；业主单位出具的《项目负责人履职证明》；中标公告截图；项目验收报告/成果批复（列明负责人）。未提供或无法体现负责人姓名的，不予计分。3.除项目负责人之外，应配备政策研究人员（至少2名）、核心编制人员（至少2名），辅助与支持人员（至少2名），满足要求得6分，缺少1人扣1分，扣完为止；项目团队人员均须提供递交投标文件截止之日前6个月内任意一个月在本单位缴纳的养老保险证明，未按要求提供的，对应人员不计入有效配置，按缺少人员标准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1.根据项目具体情况，对关键点、难点、重点进行精准分析，紧扣印台区省级产业园创建痛点（如产业链完善、省级标准对接、数据精准性等），控制措施科学合理、具体可操作，能有效解决实际问题，得4分；2.重难点分析内容比较准确，基本贴合项目实际，控制措施比较合理，具备一定可操作性，能基本解决核心问题，得3分；3.重难点分析内容基本准确，但不够深入，控制措施基本合理，但可操作性不足，无法有效解决实际问题，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突发事件处理预案</w:t>
            </w:r>
          </w:p>
        </w:tc>
        <w:tc>
          <w:tcPr>
            <w:tcW w:type="dxa" w:w="2492"/>
          </w:tcPr>
          <w:p>
            <w:pPr>
              <w:pStyle w:val="null3"/>
            </w:pPr>
            <w:r>
              <w:rPr>
                <w:rFonts w:ascii="仿宋_GB2312" w:hAnsi="仿宋_GB2312" w:cs="仿宋_GB2312" w:eastAsia="仿宋_GB2312"/>
              </w:rPr>
              <w:t>内容包含但不限于：①突发事件应急处理小组及人员分工；②可能突发的事件及处理方法。方案切合本项目实际情况，条理清晰，内容完整、详实、合理得4分。每有一项缺项扣2分，每有一处内容存在缺陷，扣0.5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成果质量及后续服务承诺</w:t>
            </w:r>
          </w:p>
        </w:tc>
        <w:tc>
          <w:tcPr>
            <w:tcW w:type="dxa" w:w="2492"/>
          </w:tcPr>
          <w:p>
            <w:pPr>
              <w:pStyle w:val="null3"/>
            </w:pPr>
            <w:r>
              <w:rPr>
                <w:rFonts w:ascii="仿宋_GB2312" w:hAnsi="仿宋_GB2312" w:cs="仿宋_GB2312" w:eastAsia="仿宋_GB2312"/>
              </w:rPr>
              <w:t>1.承诺编制成果符合陕西省省级现代农业产业园创建标准、财政奖补资金管理要求得2分；2.承诺提供完善的后续服务（如评审修改、政策对接、资料补充等），直至通过各级评审得4分。未提供或承诺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保密、廉洁措施</w:t>
            </w:r>
          </w:p>
        </w:tc>
        <w:tc>
          <w:tcPr>
            <w:tcW w:type="dxa" w:w="2492"/>
          </w:tcPr>
          <w:p>
            <w:pPr>
              <w:pStyle w:val="null3"/>
            </w:pPr>
            <w:r>
              <w:rPr>
                <w:rFonts w:ascii="仿宋_GB2312" w:hAnsi="仿宋_GB2312" w:cs="仿宋_GB2312" w:eastAsia="仿宋_GB2312"/>
              </w:rPr>
              <w:t>1.保密、廉洁措施全面、合理、规范，可操作性强；保密措施涵盖涉密资料保管、传递、销毁全流程，廉洁措施明确责任主体及违规处理方式，提供专项保密及廉洁承诺，得3分；2.保密、廉洁措施相对合理和规范，有相对较强的可操作性，基本覆盖核心环节，提供相关承诺，但细节不够完善，得2分；3.保密、廉洁措施不太合理，可操作性不强，未全面覆盖核心环节，承诺内容空洞，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提供2021年1月1日（以合同签订日期为准）至今类似方案编制项目业绩合同，每提供1个得3分，最高15分；未提供业绩或提供业绩不符合要求的，不得分。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报价</w:t>
            </w:r>
          </w:p>
        </w:tc>
        <w:tc>
          <w:tcPr>
            <w:tcW w:type="dxa" w:w="2492"/>
          </w:tcPr>
          <w:p>
            <w:pPr>
              <w:pStyle w:val="null3"/>
            </w:pPr>
            <w:r>
              <w:rPr>
                <w:rFonts w:ascii="仿宋_GB2312" w:hAnsi="仿宋_GB2312" w:cs="仿宋_GB2312" w:eastAsia="仿宋_GB2312"/>
              </w:rPr>
              <w:t>综合评分法中的价格分统一采用低价优先法计算，即满足招标文件要求且投标价格最低的投标报价为基准价，其价格分为满分20分。其他投标单位的投标报价得分计算公式如下： 投标报价得分=（评标基准价／投标报价）×20；小数点后保留二位，四舍五入。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