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铜川市耀州区采煤沉陷区综合治理工程</w:t>
      </w:r>
    </w:p>
    <w:p>
      <w:pPr>
        <w:pStyle w:val="null3"/>
        <w:jc w:val="center"/>
        <w:outlineLvl w:val="2"/>
      </w:pPr>
      <w:r>
        <w:rPr>
          <w:b/>
          <w:sz w:val="28"/>
        </w:rPr>
        <w:t>采购项目编号：</w:t>
      </w:r>
      <w:r>
        <w:rPr>
          <w:b/>
          <w:sz w:val="28"/>
        </w:rPr>
        <w:t>ZC-YDQ2024-001</w:t>
      </w:r>
      <w:r>
        <w:br/>
      </w:r>
      <w:r>
        <w:br/>
      </w:r>
      <w:r>
        <w:br/>
      </w:r>
    </w:p>
    <w:p>
      <w:pPr>
        <w:pStyle w:val="null3"/>
        <w:jc w:val="center"/>
        <w:outlineLvl w:val="2"/>
      </w:pPr>
      <w:r>
        <w:rPr>
          <w:b/>
          <w:sz w:val="28"/>
        </w:rPr>
        <w:t>铜川市耀州区发展和改革局</w:t>
      </w:r>
    </w:p>
    <w:p>
      <w:pPr>
        <w:pStyle w:val="null3"/>
        <w:jc w:val="center"/>
        <w:outlineLvl w:val="2"/>
      </w:pPr>
      <w:r>
        <w:rPr>
          <w:b/>
          <w:sz w:val="28"/>
        </w:rPr>
        <w:t>陕西一鼎全项目咨询有限公司</w:t>
      </w:r>
      <w:r>
        <w:rPr>
          <w:b/>
          <w:sz w:val="28"/>
        </w:rPr>
        <w:t>共同编制</w:t>
      </w:r>
    </w:p>
    <w:p>
      <w:pPr>
        <w:pStyle w:val="null3"/>
        <w:jc w:val="center"/>
        <w:outlineLvl w:val="2"/>
      </w:pPr>
      <w:r>
        <w:rPr>
          <w:b/>
          <w:sz w:val="28"/>
        </w:rPr>
        <w:t>2024年01月24日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陕西一鼎全项目咨询有限公司</w:t>
      </w:r>
      <w:r>
        <w:rPr/>
        <w:t>（以下简称“代理机构”）受</w:t>
      </w:r>
      <w:r>
        <w:rPr/>
        <w:t>铜川市耀州区发展和改革局</w:t>
      </w:r>
      <w:r>
        <w:rPr/>
        <w:t>委托，拟对</w:t>
      </w:r>
      <w:r>
        <w:rPr/>
        <w:t>铜川市耀州区采煤沉陷区综合治理工程</w:t>
      </w:r>
      <w:r>
        <w:rPr/>
        <w:t>采用竞争性磋商采购方式进行采购，兹邀请供应商参加本项目的竞争性磋商。</w:t>
      </w:r>
    </w:p>
    <w:p>
      <w:pPr>
        <w:pStyle w:val="null3"/>
        <w:outlineLvl w:val="2"/>
      </w:pPr>
      <w:r>
        <w:rPr>
          <w:b/>
          <w:sz w:val="28"/>
        </w:rPr>
        <w:t>一、项目编号：</w:t>
      </w:r>
      <w:r>
        <w:rPr>
          <w:b/>
          <w:sz w:val="28"/>
        </w:rPr>
        <w:t>ZC-YDQ2024-001</w:t>
      </w:r>
    </w:p>
    <w:p>
      <w:pPr>
        <w:pStyle w:val="null3"/>
        <w:outlineLvl w:val="2"/>
      </w:pPr>
      <w:r>
        <w:rPr>
          <w:b/>
          <w:sz w:val="28"/>
        </w:rPr>
        <w:t>二、项目名称：</w:t>
      </w:r>
      <w:r>
        <w:rPr>
          <w:b/>
          <w:sz w:val="28"/>
        </w:rPr>
        <w:t>铜川市耀州区采煤沉陷区综合治理工程</w:t>
      </w:r>
    </w:p>
    <w:p>
      <w:pPr>
        <w:pStyle w:val="null3"/>
        <w:outlineLvl w:val="2"/>
      </w:pPr>
      <w:r>
        <w:rPr>
          <w:b/>
          <w:sz w:val="28"/>
        </w:rPr>
        <w:t>三、磋商项目简介</w:t>
      </w:r>
    </w:p>
    <w:p>
      <w:pPr>
        <w:pStyle w:val="null3"/>
        <w:ind w:firstLine="480"/>
      </w:pPr>
      <w:r>
        <w:rPr/>
        <w:t>《铜川市耀州区采煤沉陷区综合治工程实施方案》编制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采购包1（铜川市耀州区采煤沉陷区综合治理工程实施方案）：属于专门面向中小企业采购。</w:t>
      </w:r>
    </w:p>
    <w:p>
      <w:pPr>
        <w:pStyle w:val="null3"/>
        <w:ind w:firstLine="480"/>
      </w:pPr>
      <w:r>
        <w:rPr/>
        <w:t>（三）本项目的特定资格要求：</w:t>
      </w:r>
    </w:p>
    <w:p>
      <w:pPr>
        <w:pStyle w:val="null3"/>
      </w:pPr>
      <w:r>
        <w:rPr/>
        <w:t>采购包1：</w:t>
      </w:r>
    </w:p>
    <w:p>
      <w:pPr>
        <w:pStyle w:val="null3"/>
      </w:pPr>
      <w:r>
        <w:rPr/>
        <w:t>1、营业执照：合格有效的法人或者其他组织的营业执照等合法证明文件；</w:t>
      </w:r>
    </w:p>
    <w:p>
      <w:pPr>
        <w:pStyle w:val="null3"/>
      </w:pPr>
      <w:r>
        <w:rPr/>
        <w:t>2、项目负责人：拟派项目负责人需具备相关专业中级及以上技术职称</w:t>
      </w:r>
    </w:p>
    <w:p>
      <w:pPr>
        <w:pStyle w:val="null3"/>
      </w:pPr>
      <w:r>
        <w:rPr/>
        <w:t>3、财务状况报告：提供2022年度经审计的财务审计报告（成立时间至提交响应文件截止时间不足一年的可提供成立后任意时段的资产负债表）或投标截止时间前三个月内其基本账户开户银行出具的资信证明及开户许可证；</w:t>
      </w:r>
    </w:p>
    <w:p>
      <w:pPr>
        <w:pStyle w:val="null3"/>
      </w:pPr>
      <w:r>
        <w:rPr/>
        <w:t>4、税收缴纳证明：提供截止开标时间前六个月内的任意一个月税收缴纳证明或完税证明。依法免税的单位应提供相关证明材料；</w:t>
      </w:r>
    </w:p>
    <w:p>
      <w:pPr>
        <w:pStyle w:val="null3"/>
      </w:pPr>
      <w:r>
        <w:rPr/>
        <w:t>5、社保缴纳证明：提供截止开标时间前六个月内的任意一个月的社会保障资金缴存单据或社保机构开具的社会保险参保缴费情况证明，依法不需要缴纳社会保障资金的单位应提供相关证明材料</w:t>
      </w:r>
    </w:p>
    <w:p>
      <w:pPr>
        <w:pStyle w:val="null3"/>
      </w:pPr>
      <w:r>
        <w:rPr/>
        <w:t>6、履行合同承诺函：提供具有履行合同所必需的设备和专业技术能力的承诺函；</w:t>
      </w:r>
    </w:p>
    <w:p>
      <w:pPr>
        <w:pStyle w:val="null3"/>
      </w:pPr>
      <w:r>
        <w:rPr/>
        <w:t>7、提供法定代表人授权书：附法定代表人，被授权人身份证复印件及被授权人身份证原件（法定代表人直接参加投标，须提供法定代表人身份证明及身份证原件）</w:t>
      </w:r>
    </w:p>
    <w:p>
      <w:pPr>
        <w:pStyle w:val="null3"/>
      </w:pPr>
      <w:r>
        <w:rPr/>
        <w:t>8、信用要求：参加本次政府采购活动前 3 年内在经营活动中没有重大违法记录，以及未被列入失信被执行人、重大税收违法案件当事人名单、政府采购严重违法失信行为记录名单的书面声明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铜川市耀州区发展和改革局</w:t>
      </w:r>
    </w:p>
    <w:p>
      <w:pPr>
        <w:pStyle w:val="null3"/>
      </w:pPr>
      <w:r>
        <w:rPr/>
        <w:t xml:space="preserve"> 地址： </w:t>
      </w:r>
      <w:r>
        <w:rPr/>
        <w:t>陕西省铜川市耀州区文营西路81号</w:t>
      </w:r>
    </w:p>
    <w:p>
      <w:pPr>
        <w:pStyle w:val="null3"/>
      </w:pPr>
      <w:r>
        <w:rPr/>
        <w:t xml:space="preserve"> 邮编： </w:t>
      </w:r>
      <w:r>
        <w:rPr/>
        <w:t>727100</w:t>
      </w:r>
    </w:p>
    <w:p>
      <w:pPr>
        <w:pStyle w:val="null3"/>
      </w:pPr>
      <w:r>
        <w:rPr/>
        <w:t xml:space="preserve"> 联系人： </w:t>
      </w:r>
      <w:r>
        <w:rPr/>
        <w:t>宋先生</w:t>
      </w:r>
    </w:p>
    <w:p>
      <w:pPr>
        <w:pStyle w:val="null3"/>
      </w:pPr>
      <w:r>
        <w:rPr/>
        <w:t xml:space="preserve"> 联系电话： </w:t>
      </w:r>
      <w:r>
        <w:rPr/>
        <w:t>18691912634</w:t>
      </w:r>
    </w:p>
    <w:p>
      <w:pPr>
        <w:pStyle w:val="null3"/>
        <w:outlineLvl w:val="3"/>
      </w:pPr>
      <w:r>
        <w:rPr>
          <w:b/>
          <w:sz w:val="24"/>
        </w:rPr>
        <w:t>代理机构：</w:t>
      </w:r>
      <w:r>
        <w:rPr>
          <w:b/>
          <w:sz w:val="24"/>
        </w:rPr>
        <w:t>陕西一鼎全项目咨询有限公司</w:t>
      </w:r>
    </w:p>
    <w:p>
      <w:pPr>
        <w:pStyle w:val="null3"/>
      </w:pPr>
      <w:r>
        <w:rPr/>
        <w:t xml:space="preserve"> 地址： </w:t>
      </w:r>
      <w:r>
        <w:rPr/>
        <w:t>陕西省铜川市印台区陕西省铜川市印台区城关街道办事处鑫光社区唐华小区一期5号楼1-201室</w:t>
      </w:r>
    </w:p>
    <w:p>
      <w:pPr>
        <w:pStyle w:val="null3"/>
      </w:pPr>
      <w:r>
        <w:rPr/>
        <w:t xml:space="preserve"> 邮编： </w:t>
      </w:r>
      <w:r>
        <w:rPr/>
        <w:t>713400</w:t>
      </w:r>
    </w:p>
    <w:p>
      <w:pPr>
        <w:pStyle w:val="null3"/>
      </w:pPr>
      <w:r>
        <w:rPr/>
        <w:t xml:space="preserve"> 联系人： </w:t>
      </w:r>
      <w:r>
        <w:rPr/>
        <w:t>程晓利</w:t>
      </w:r>
    </w:p>
    <w:p>
      <w:pPr>
        <w:pStyle w:val="null3"/>
      </w:pPr>
      <w:r>
        <w:rPr/>
        <w:t xml:space="preserve"> 联系电话： </w:t>
      </w:r>
      <w:r>
        <w:rPr/>
        <w:t>18091912539</w:t>
      </w:r>
    </w:p>
    <w:p>
      <w:pPr>
        <w:pStyle w:val="null3"/>
        <w:outlineLvl w:val="3"/>
      </w:pPr>
      <w:r>
        <w:rPr>
          <w:b/>
          <w:sz w:val="24"/>
        </w:rPr>
        <w:t>采购监督机构：</w:t>
      </w:r>
      <w:r>
        <w:rPr>
          <w:b/>
          <w:sz w:val="24"/>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代理服务费收费标准：按国家计委计价[2002]1980号文件收费标准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铜川市耀州区发展和改革局</w:t>
      </w:r>
      <w:r>
        <w:rPr/>
        <w:t>和</w:t>
      </w:r>
      <w:r>
        <w:rPr/>
        <w:t>陕西一鼎全项目咨询有限公司</w:t>
      </w:r>
      <w:r>
        <w:rPr/>
        <w:t>享有。对磋商文件中供应商参加本次政府采购活动应当具备的条件，磋商项目技术、服务、商务及其他要求，评审细则及标准由</w:t>
      </w:r>
      <w:r>
        <w:rPr/>
        <w:t>铜川市耀州区发展和改革局</w:t>
      </w:r>
      <w:r>
        <w:rPr/>
        <w:t>负责解释。除上述磋商文件内容，其他内容由</w:t>
      </w:r>
      <w:r>
        <w:rPr/>
        <w:t>陕西一鼎全项目咨询有限公司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铜川市耀州区发展和改革局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陕西一鼎全项目咨询有限公司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国家发展和改革委员会《关于进一步推进采煤沉陷区综合治理工程和独立工矿区改造提升工程的通知》文件及文件中采煤沉陷区综合治理工程/独立工矿区改造提升工程实施方案编制参考提纲（2023-2025年）。</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陕西一鼎全项目咨询有限公司</w:t>
      </w:r>
      <w:r>
        <w:rPr/>
        <w:t xml:space="preserve"> 负责答复；供应商对除采购需求外的采购文件的询问、质疑由</w:t>
      </w:r>
      <w:r>
        <w:rPr/>
        <w:t>陕西一鼎全项目咨询有限公司</w:t>
      </w:r>
      <w:r>
        <w:rPr/>
        <w:t xml:space="preserve"> 负责答复；供应商对采购过程、采购结果的询问、质疑由 </w:t>
      </w:r>
      <w:r>
        <w:rPr/>
        <w:t>陕西一鼎全项目咨询有限公司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联系人：程晓利</w:t>
      </w:r>
    </w:p>
    <w:p>
      <w:pPr>
        <w:pStyle w:val="null3"/>
      </w:pPr>
      <w:r>
        <w:rPr/>
        <w:t>联系电话：18091912539</w:t>
      </w:r>
    </w:p>
    <w:p>
      <w:pPr>
        <w:pStyle w:val="null3"/>
      </w:pPr>
      <w:r>
        <w:rPr/>
        <w:t>地址：铜川市印台区</w:t>
      </w:r>
    </w:p>
    <w:p>
      <w:pPr>
        <w:pStyle w:val="null3"/>
      </w:pPr>
      <w:r>
        <w:rPr/>
        <w:t>邮编：713400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《铜川市耀州区采煤沉陷区综合治工程实施方案》编制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编制完成《铜川市耀州区采煤沉陷区综合治理工程实施方案》</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标的名称：编制完成《铜川市耀州区采煤沉陷区综合治理工程实施方案》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严格按照国家发展和改革委员会《关于进一步推进采煤沉陷区综合治理工程和独立工矿区改造提升工程的通知》文件及文件附件《采煤沉陷区综合治理工程/独立工矿区改造提升工程实施方案编制参考提纲（2023-2025年）》编制本实施方案</w:t>
            </w:r>
          </w:p>
        </w:tc>
      </w:tr>
    </w:tbl>
    <w:p>
      <w:pPr>
        <w:pStyle w:val="null3"/>
        <w:outlineLvl w:val="2"/>
      </w:pPr>
      <w:r>
        <w:rPr>
          <w:b/>
          <w:sz w:val="28"/>
        </w:rPr>
        <w:t>3.2.3人员配置要求</w:t>
      </w:r>
    </w:p>
    <w:p>
      <w:pPr>
        <w:pStyle w:val="null3"/>
      </w:pPr>
      <w:r>
        <w:rPr/>
        <w:t>采购包1：</w:t>
      </w:r>
    </w:p>
    <w:p>
      <w:pPr>
        <w:pStyle w:val="null3"/>
      </w:pPr>
      <w:r>
        <w:rPr/>
        <w:t>拟派项目负责人需具备相关专业中级及以上技术职称</w:t>
      </w:r>
    </w:p>
    <w:p>
      <w:pPr>
        <w:pStyle w:val="null3"/>
        <w:outlineLvl w:val="2"/>
      </w:pPr>
      <w:r>
        <w:rPr>
          <w:b/>
          <w:sz w:val="28"/>
        </w:rPr>
        <w:t>3.2.4设施设备要求</w:t>
      </w:r>
    </w:p>
    <w:p>
      <w:pPr>
        <w:pStyle w:val="null3"/>
      </w:pPr>
      <w:r>
        <w:rPr/>
        <w:t>采购包1：</w:t>
      </w:r>
    </w:p>
    <w:p>
      <w:pPr>
        <w:pStyle w:val="null3"/>
      </w:pPr>
      <w:r>
        <w:rPr/>
        <w:t>具有履行合同所必需的设备和专业技术的能力</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30天</w:t>
      </w:r>
    </w:p>
    <w:p>
      <w:pPr>
        <w:pStyle w:val="null3"/>
        <w:outlineLvl w:val="3"/>
      </w:pPr>
      <w:r>
        <w:rPr>
          <w:b/>
          <w:sz w:val="24"/>
        </w:rPr>
        <w:t>3.3.2服务地点</w:t>
      </w:r>
    </w:p>
    <w:p>
      <w:pPr>
        <w:pStyle w:val="null3"/>
      </w:pPr>
      <w:r>
        <w:rPr/>
        <w:t>采购包1：</w:t>
      </w:r>
    </w:p>
    <w:p>
      <w:pPr>
        <w:pStyle w:val="null3"/>
      </w:pPr>
      <w:r>
        <w:rPr/>
        <w:t>铜川市耀州区</w:t>
      </w:r>
    </w:p>
    <w:p>
      <w:pPr>
        <w:pStyle w:val="null3"/>
        <w:outlineLvl w:val="3"/>
      </w:pPr>
      <w:r>
        <w:rPr>
          <w:b/>
          <w:sz w:val="24"/>
        </w:rPr>
        <w:t>3.3.3考核（验收）标准和方法</w:t>
      </w:r>
    </w:p>
    <w:p>
      <w:pPr>
        <w:pStyle w:val="null3"/>
      </w:pPr>
      <w:r>
        <w:rPr/>
        <w:t>采购包1：</w:t>
      </w:r>
    </w:p>
    <w:p>
      <w:pPr>
        <w:pStyle w:val="null3"/>
      </w:pPr>
      <w:r>
        <w:rPr/>
        <w:t>本实施方案编制完成，通过主管部门验收认定</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本实施方案编制完成，通过主管部门验收认定</w:t>
      </w:r>
      <w:r>
        <w:rPr/>
        <w:t xml:space="preserve"> ，达到付款条件起 </w:t>
      </w:r>
      <w:r>
        <w:rPr/>
        <w:t>15</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1.按《民法典》中的相关条款执行。 2.供应商未按合同要求提供服务或服务不能满足合同要求的，采购人应当将供应商违约的情况以及拟采取的措施以书面形式报政府采购监管部门，根据政府采购监管部门的处理意见，采购人有权依据《民法典》有关条款及合同约定终止合同，并要求供应商承担违约责任。同时，政府采购监管部门有权依据《政府采购法》及相关法律法规对供应商的违法行为进行相应的处罚。 3.依据《中华人民共和国民法典》、《中华人民共和国政府采购法》的相关条款规定和本合同约定，成交供应商未全面履行合同义务或者发生违约，采购人会同招标组织机构有权终止合同，依法向成交供应商进行经济索赔，并报请政府采购监管机关依法进行相应的行政处罚。采购人违约的，应当赔偿给成交供应商造成的经济损失。</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合格有效的法人或者其他组织的营业执照等合法证明文件；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项目负责人</w:t>
            </w:r>
          </w:p>
        </w:tc>
        <w:tc>
          <w:tcPr>
            <w:tcW w:type="dxa" w:w="3322"/>
          </w:tcPr>
          <w:p>
            <w:pPr>
              <w:pStyle w:val="null3"/>
            </w:pPr>
            <w:r>
              <w:rPr/>
              <w:t>拟派项目负责人需具备相关专业中级及以上技术职称</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提供2022年度经审计的财务审计报告（成立时间至提交响应文件截止时间不足一年的可提供成立后任意时段的资产负债表）或投标截止时间前三个月内其基本账户开户银行出具的资信证明及开户许可证；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提供截止开标时间前六个月内的任意一个月税收缴纳证明或完税证明。依法免税的单位应提供相关证明材料；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提供截止开标时间前六个月内的任意一个月的社会保障资金缴存单据或社保机构开具的社会保险参保缴费情况证明，依法不需要缴纳社会保障资金的单位应提供相关证明材料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履行合同承诺函</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提供法定代表人授权书</w:t>
            </w:r>
          </w:p>
        </w:tc>
        <w:tc>
          <w:tcPr>
            <w:tcW w:type="dxa" w:w="3322"/>
          </w:tcPr>
          <w:p>
            <w:pPr>
              <w:pStyle w:val="null3"/>
            </w:pPr>
            <w:r>
              <w:rPr/>
              <w:t>附法定代表人，被授权人身份证复印件及被授权人身份证原件（法定代表人直接参加投标，须提供法定代表人身份证明及身份证原件）</w:t>
            </w:r>
          </w:p>
        </w:tc>
        <w:tc>
          <w:tcPr>
            <w:tcW w:type="dxa" w:w="1661"/>
          </w:tcPr>
          <w:p>
            <w:pPr>
              <w:pStyle w:val="null3"/>
            </w:pPr>
            <w:r>
              <w:rPr/>
              <w:t>法定代表人授权委托书</w:t>
            </w:r>
          </w:p>
        </w:tc>
      </w:tr>
      <w:tr>
        <w:tc>
          <w:tcPr>
            <w:tcW w:type="dxa" w:w="831"/>
          </w:tcPr>
          <w:p>
            <w:pPr>
              <w:pStyle w:val="null3"/>
            </w:pPr>
            <w:r>
              <w:rPr/>
              <w:t>8</w:t>
            </w:r>
          </w:p>
        </w:tc>
        <w:tc>
          <w:tcPr>
            <w:tcW w:type="dxa" w:w="2492"/>
          </w:tcPr>
          <w:p>
            <w:pPr>
              <w:pStyle w:val="null3"/>
            </w:pPr>
            <w:r>
              <w:rPr/>
              <w:t>信用要求</w:t>
            </w:r>
          </w:p>
        </w:tc>
        <w:tc>
          <w:tcPr>
            <w:tcW w:type="dxa" w:w="3322"/>
          </w:tcPr>
          <w:p>
            <w:pPr>
              <w:pStyle w:val="null3"/>
            </w:pPr>
            <w:r>
              <w:rPr/>
              <w:t>参加本次政府采购活动前 3 年内在经营活动中没有重大违法记录，以及未被列入失信被执行人、重大税收违法案件当事人名单、政府采购严重违法失信行为记录名单的书面声明</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是否符合磋商文件要求。</w:t>
            </w:r>
          </w:p>
        </w:tc>
        <w:tc>
          <w:tcPr>
            <w:tcW w:type="dxa" w:w="1661"/>
          </w:tcPr>
          <w:p>
            <w:pPr>
              <w:pStyle w:val="null3"/>
            </w:pPr>
            <w:r>
              <w:rPr/>
              <w:t>服务内容及服务邀请应答表 法定代表人授权委托书 中小企业声明函 商务应答表 项目组人员组成表 供应商应提交的相关资格证明材料 报价表 响应文件封面 残疾人福利性单位声明函 服务方案 标的清单 供应商认为有必要补充说明的事宜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工作总体方案、工作计划</w:t>
            </w:r>
          </w:p>
        </w:tc>
        <w:tc>
          <w:tcPr>
            <w:tcW w:type="dxa" w:w="2492"/>
          </w:tcPr>
          <w:p>
            <w:pPr>
              <w:pStyle w:val="null3"/>
            </w:pPr>
            <w:r>
              <w:rPr/>
              <w:t>1.工作总体方案安排思路清晰、计划进度合理、技术路线合理、工作方案可行，对项目实施具有较强的控制和指导作用的得（15-20）分； 2.思路基本清晰、进度和技术路线的合理性和可行性一般，对项目实施能起到一定的指导作用得（10-15）分； 3.思路不够清晰、合理性和可行性较差，影响项目实施的得（5-10）分。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项目组人员组成</w:t>
            </w:r>
          </w:p>
        </w:tc>
        <w:tc>
          <w:tcPr>
            <w:tcW w:type="dxa" w:w="2492"/>
          </w:tcPr>
          <w:p>
            <w:pPr>
              <w:pStyle w:val="null3"/>
            </w:pPr>
            <w:r>
              <w:rPr/>
              <w:t>1.项目组主要负责人具有承担类似项目编制经验的，并且为高级职称得5分；项目组主要负责人具有承担类似项目编制经验的，并且为中级职称得3分，本项最高得分5分。 2.要求项目组成人员专业搭配合理，满足项目需求，总体实力强。有高级职称每位得1分，最高为2分，中级职称每位得0.5分，最高2分，初级职称每位0.25分，最高1分。本项最高得分5分。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项目组人员组成表</w:t>
            </w:r>
          </w:p>
        </w:tc>
      </w:tr>
      <w:tr>
        <w:tc>
          <w:tcPr>
            <w:tcW w:type="dxa" w:w="831"/>
            <w:vMerge/>
          </w:tcPr>
          <w:p/>
        </w:tc>
        <w:tc>
          <w:tcPr>
            <w:tcW w:type="dxa" w:w="1661"/>
          </w:tcPr>
          <w:p>
            <w:pPr>
              <w:pStyle w:val="null3"/>
            </w:pPr>
            <w:r>
              <w:rPr/>
              <w:t>现状与发展的主要问题分析</w:t>
            </w:r>
          </w:p>
        </w:tc>
        <w:tc>
          <w:tcPr>
            <w:tcW w:type="dxa" w:w="2492"/>
          </w:tcPr>
          <w:p>
            <w:pPr>
              <w:pStyle w:val="null3"/>
            </w:pPr>
            <w:r>
              <w:rPr/>
              <w:t>按照采购人要求，对实施方案区域目前的经济、社会的发展思路和区域定位、发展阶段、发展现状等方面进行典型分析总结。 1.对现状分析透彻、主要问题把握全面的得（8-12）分； 2.对现状分析较透彻、问题基本把握的得（4-7）分； 3.对现状问题分析不尽到位、基本问题把握不清、内容空洞、流于形式化或套取模板化的得（0-3）分。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发展目标、指导原则、战略定位、重点任务、重大项目及重大举措等</w:t>
            </w:r>
          </w:p>
        </w:tc>
        <w:tc>
          <w:tcPr>
            <w:tcW w:type="dxa" w:w="2492"/>
          </w:tcPr>
          <w:p>
            <w:pPr>
              <w:pStyle w:val="null3"/>
            </w:pPr>
            <w:r>
              <w:rPr/>
              <w:t>1.对发展目标、指导原则、战略定位、重点任务、重大项目及重大举措等，对规划思路合理、可行、对区域情况把握准确、总体思路切合实际；需求分析透彻、重点举措明确等方面赋（8-10）分； 2.规划思路合理性和可行性一般、对区域情况把握一般、总体思路与实际不冲突；需求分析较透彻、有对策举措的得（5-7）分； 3.规划思路具有不足之处、对区域情况把握不足、总体思路不切合实际；需求分析不明确的得（0-4）分。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重点问题解决方案</w:t>
            </w:r>
          </w:p>
        </w:tc>
        <w:tc>
          <w:tcPr>
            <w:tcW w:type="dxa" w:w="2492"/>
          </w:tcPr>
          <w:p>
            <w:pPr>
              <w:pStyle w:val="null3"/>
            </w:pPr>
            <w:r>
              <w:rPr/>
              <w:t>1.解决方案科学、合理、可行的得（6-8）分； 2.基本合理可行的得（3-5）分； 3.合理性和可行性较差的，酌情得（0-2）分。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进度保证措施</w:t>
            </w:r>
          </w:p>
        </w:tc>
        <w:tc>
          <w:tcPr>
            <w:tcW w:type="dxa" w:w="2492"/>
          </w:tcPr>
          <w:p>
            <w:pPr>
              <w:pStyle w:val="null3"/>
            </w:pPr>
            <w:r>
              <w:rPr/>
              <w:t>1.保证措施科学、合理、可行的得（4-5）分； 2.基本合理可行的得（2-3）分； 3.合理性和可行性较差的得（0-1）分。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1.保证措施科学、合理、可行的得（5-7）分； 2.基本合理可行的得（2-4）分； 3.合理性和可行性较差的得（0-1）分。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后期服务配合计划</w:t>
            </w:r>
          </w:p>
        </w:tc>
        <w:tc>
          <w:tcPr>
            <w:tcW w:type="dxa" w:w="2492"/>
          </w:tcPr>
          <w:p>
            <w:pPr>
              <w:pStyle w:val="null3"/>
            </w:pPr>
            <w:r>
              <w:rPr/>
              <w:t>1.后期服务配合计划完备、可行性强、可提供驻地服务的得（5-7）分； 2.后期服务配合计划具有一定的可行性，可提供驻地服务的得（2-4）分； 3.后期服务配合计划内容空洞，可行性较差的得（0-1）分。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履约能力</w:t>
            </w:r>
          </w:p>
        </w:tc>
        <w:tc>
          <w:tcPr>
            <w:tcW w:type="dxa" w:w="2492"/>
          </w:tcPr>
          <w:p>
            <w:pPr>
              <w:pStyle w:val="null3"/>
            </w:pPr>
            <w:r>
              <w:rPr/>
              <w:t>提供近年（2018年1月至今）类似项目的业绩（以合同或中标通知书为准），每提供一个类似项目得2分；满分6分。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既满足采购文件要求，且投标价格最低的投标报价为评标基准价，其价格分为满分。其他投标人的价格分统一按照下列公示计算： 投标报价得分=（评标基准价/投标报价）×价格权值（15）。</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详见附件：法定代表人授权委托书</w:t>
      </w:r>
    </w:p>
    <w:p>
      <w:pPr>
        <w:pStyle w:val="null3"/>
        <w:ind w:firstLine="960"/>
      </w:pPr>
      <w:r>
        <w:rPr/>
        <w:t>详见附件：项目组人员组成表</w:t>
      </w:r>
    </w:p>
    <w:p>
      <w:pPr>
        <w:pStyle w:val="null3"/>
        <w:ind w:firstLine="960"/>
      </w:pPr>
      <w:r>
        <w:rPr/>
        <w:t>详见附件：供应商认为有必要补充说明的事宜</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