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版本号：241024002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关庄派出所规范化提升改造修缮工程</w:t>
      </w:r>
    </w:p>
    <w:p>
      <w:pPr>
        <w:pStyle w:val="null3"/>
        <w:jc w:val="center"/>
        <w:outlineLvl w:val="2"/>
      </w:pPr>
      <w:r>
        <w:rPr>
          <w:sz w:val="28"/>
          <w:b/>
        </w:rPr>
        <w:t>采购项目编号：</w:t>
      </w:r>
      <w:r>
        <w:rPr>
          <w:sz w:val="28"/>
          <w:b/>
        </w:rPr>
        <w:t>XAXC2024(Z)-GC-014</w:t>
      </w:r>
      <w:r>
        <w:br/>
      </w:r>
      <w:r>
        <w:br/>
      </w:r>
      <w:r>
        <w:br/>
      </w:r>
    </w:p>
    <w:p>
      <w:pPr>
        <w:pStyle w:val="null3"/>
        <w:jc w:val="center"/>
        <w:outlineLvl w:val="2"/>
      </w:pPr>
      <w:r>
        <w:rPr>
          <w:sz w:val="28"/>
          <w:b/>
        </w:rPr>
        <w:t>铜川市公安局耀州分局</w:t>
      </w:r>
    </w:p>
    <w:p>
      <w:pPr>
        <w:pStyle w:val="null3"/>
        <w:jc w:val="center"/>
        <w:outlineLvl w:val="2"/>
      </w:pPr>
      <w:r>
        <w:rPr>
          <w:sz w:val="28"/>
          <w:b/>
        </w:rPr>
        <w:t>西安新策建设工程咨询有限公司</w:t>
      </w:r>
      <w:r>
        <w:rPr>
          <w:sz w:val="28"/>
          <w:b/>
        </w:rPr>
        <w:t>共同编制</w:t>
      </w:r>
    </w:p>
    <w:p>
      <w:pPr>
        <w:pStyle w:val="null3"/>
        <w:jc w:val="center"/>
        <w:outlineLvl w:val="2"/>
      </w:pPr>
      <w:r>
        <w:rPr>
          <w:sz w:val="28"/>
          <w:b/>
        </w:rPr>
        <w:t>2024年10月22日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西安新策建设工程咨询有限公司</w:t>
      </w:r>
      <w:r>
        <w:rPr/>
        <w:t>（以下简称“代理机构”）受</w:t>
      </w:r>
      <w:r>
        <w:rPr/>
        <w:t>铜川市公安局耀州分局</w:t>
      </w:r>
      <w:r>
        <w:rPr/>
        <w:t>委托，拟对</w:t>
      </w:r>
      <w:r>
        <w:rPr/>
        <w:t>关庄派出所规范化提升改造修缮工程</w:t>
      </w:r>
      <w:r>
        <w:rPr/>
        <w:t>采用竞争性磋商采购方式进行采购，兹邀请供应商参加本项目的竞争性磋商。</w:t>
      </w:r>
    </w:p>
    <w:p>
      <w:pPr>
        <w:pStyle w:val="null3"/>
        <w:outlineLvl w:val="2"/>
      </w:pPr>
      <w:r>
        <w:rPr>
          <w:sz w:val="28"/>
          <w:b/>
        </w:rPr>
        <w:t>一、采购项目编号：</w:t>
      </w:r>
      <w:r>
        <w:rPr>
          <w:sz w:val="28"/>
          <w:b/>
        </w:rPr>
        <w:t>XAXC2024(Z)-GC-014</w:t>
      </w:r>
    </w:p>
    <w:p>
      <w:pPr>
        <w:pStyle w:val="null3"/>
        <w:outlineLvl w:val="2"/>
      </w:pPr>
      <w:r>
        <w:rPr>
          <w:sz w:val="28"/>
          <w:b/>
        </w:rPr>
        <w:t>二、采购项目名称：</w:t>
      </w:r>
      <w:r>
        <w:rPr>
          <w:sz w:val="28"/>
          <w:b/>
        </w:rPr>
        <w:t>关庄派出所规范化提升改造修缮工程</w:t>
      </w:r>
    </w:p>
    <w:p>
      <w:pPr>
        <w:pStyle w:val="null3"/>
        <w:outlineLvl w:val="2"/>
      </w:pPr>
      <w:r>
        <w:rPr>
          <w:sz w:val="28"/>
          <w:b/>
        </w:rPr>
        <w:t>三、磋商项目简介</w:t>
      </w:r>
    </w:p>
    <w:p>
      <w:pPr>
        <w:pStyle w:val="null3"/>
        <w:ind w:firstLine="480"/>
      </w:pPr>
      <w:r>
        <w:rPr/>
        <w:t>铜川市公安局耀州分局关庄派出所规范化提升改造修缮工程，工程地点位于铜川市耀州区，主要建设内容：拆除院内及大门口地面1095.84㎡，铺设沥青地面1394.22㎡，石材地面254.85㎡，停车位划线11套，安装景观石1项，垃圾桶9个，成品花箱8个，办公楼卫生间改造及室外给排水、绿化等。（具体内容详见招标文件及工程量清单）</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采购包1（关庄派出所规范化提升改造修缮工程）：属于专门面向中小企业采购。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t>2、企业资质：供应商须提供建设行政主管部门颁发的建筑工程施工总承包三级及以上资质，且具有合格有效的安全生产许可证。</w:t>
      </w:r>
    </w:p>
    <w:p>
      <w:pPr>
        <w:pStyle w:val="null3"/>
      </w:pPr>
      <w:r>
        <w:rPr/>
        <w:t>3、拟派项目负责人资质和专业要求：（1）拟派项目经理需提供建筑工程专业二级以上（含二级）建造师证书及安全生产考核合格证（建安B证），且在本单位注册，以及无不良信用记录和无在建工程的承诺书。（2）供应商基本信息及项目经理的基本信息在“陕西省住房和城乡建设厅（http://js.shaanxi.gov.cn/）陕西省建筑市场监管与诚信信息发布平台”可查询。</w:t>
      </w:r>
    </w:p>
    <w:p>
      <w:pPr>
        <w:pStyle w:val="null3"/>
      </w:pPr>
      <w:r>
        <w:rPr/>
        <w:t>4、财务状况报告：提供2022年或2023年经审计的财务会计报告(包括审计报告、资产负债表、利润表、现金流量表、所有者权益变动表及其附注，成立时间至提交响应文件截止时间不足一年的可提供成立后任意时段的资产负债表)，或其开标前一年内基本开户银行出具的资信证明(以上二种形式的资料提供任何一种即可)。</w:t>
      </w:r>
    </w:p>
    <w:p>
      <w:pPr>
        <w:pStyle w:val="null3"/>
      </w:pPr>
      <w:r>
        <w:rPr/>
        <w:t>5、社保缴纳证明：提供递交响应文件截止之日前一年内任意一个月的社会保障资金缴存单据或社保机构开具的社会保险参保缴费情况证明。依法不需要缴纳社会保障资金的供应商应提供相关证明文件。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t>6、税收缴纳证明：提供递交响应文件截止之日前一年内任意一个月的依法缴纳税收的相关凭据，凭据应有税务机关或代收机关的公章或业务专用章。依法免税或无须缴纳税收的供应商，应提供相应证明文件。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t>7、信用记录：供应商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p>
      <w:pPr>
        <w:pStyle w:val="null3"/>
      </w:pPr>
      <w:r>
        <w:rPr/>
        <w:t>8、履约能力：供应商需具有履行合同所必需的设备和专业技术能力，须提供书面承诺书。</w:t>
      </w:r>
    </w:p>
    <w:p>
      <w:pPr>
        <w:pStyle w:val="null3"/>
      </w:pPr>
      <w:r>
        <w:rPr/>
        <w:t>9、无重大违法记录的书面声明：参加本次政府采购活动近3年内经营活动中无重大违法记录声明。</w:t>
      </w:r>
    </w:p>
    <w:p>
      <w:pPr>
        <w:pStyle w:val="null3"/>
      </w:pPr>
      <w:r>
        <w:rPr/>
        <w:t>10、控股管理关系：提供直接控股和管理关系清单。若与其他供应商存在单位负责人为同一人或者存在直接控股、管理 关系的，则投标无效。</w:t>
      </w:r>
    </w:p>
    <w:p>
      <w:pPr>
        <w:pStyle w:val="null3"/>
      </w:pPr>
      <w:r>
        <w:rPr/>
        <w:t>11、法定代表人授权委托书：法定代表人直接参加投标的，须出具《法定代表人证明书》及身份证原件；法定代表人授权代表参加投标的，须出具《法定代表人授权书》及授权代表身份证原件。响应文件中凡是需要法定代表人盖章之处，非法人单位的负责人均参照执行</w:t>
      </w:r>
    </w:p>
    <w:p>
      <w:pPr>
        <w:pStyle w:val="null3"/>
      </w:pPr>
      <w:r>
        <w:rPr/>
        <w:t>12、非联合体承诺函：供应商应提供《非联合体承诺函》视为独立响应。</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铜川市公安局耀州分局</w:t>
      </w:r>
    </w:p>
    <w:p>
      <w:pPr>
        <w:pStyle w:val="null3"/>
      </w:pPr>
      <w:r>
        <w:rPr/>
        <w:t xml:space="preserve"> 地址： </w:t>
      </w:r>
      <w:r>
        <w:rPr/>
        <w:t>铜川市耀州区文营西路81号</w:t>
      </w:r>
    </w:p>
    <w:p>
      <w:pPr>
        <w:pStyle w:val="null3"/>
      </w:pPr>
      <w:r>
        <w:rPr/>
        <w:t xml:space="preserve"> 邮编： </w:t>
      </w:r>
      <w:r>
        <w:rPr/>
        <w:t>727100</w:t>
      </w:r>
    </w:p>
    <w:p>
      <w:pPr>
        <w:pStyle w:val="null3"/>
      </w:pPr>
      <w:r>
        <w:rPr/>
        <w:t xml:space="preserve"> 联系人： </w:t>
      </w:r>
      <w:r>
        <w:rPr/>
        <w:t>姚江锋</w:t>
      </w:r>
    </w:p>
    <w:p>
      <w:pPr>
        <w:pStyle w:val="null3"/>
      </w:pPr>
      <w:r>
        <w:rPr/>
        <w:t xml:space="preserve"> 联系电话： </w:t>
      </w:r>
      <w:r>
        <w:rPr/>
        <w:t>18992919728</w:t>
      </w:r>
    </w:p>
    <w:p>
      <w:pPr>
        <w:pStyle w:val="null3"/>
        <w:outlineLvl w:val="3"/>
      </w:pPr>
      <w:r>
        <w:rPr>
          <w:sz w:val="24"/>
          <w:b/>
        </w:rPr>
        <w:t>代理机构：</w:t>
      </w:r>
      <w:r>
        <w:rPr>
          <w:sz w:val="24"/>
          <w:b/>
        </w:rPr>
        <w:t>西安新策建设工程咨询有限公司</w:t>
      </w:r>
    </w:p>
    <w:p>
      <w:pPr>
        <w:pStyle w:val="null3"/>
      </w:pPr>
      <w:r>
        <w:rPr/>
        <w:t xml:space="preserve"> 地址： </w:t>
      </w:r>
      <w:r>
        <w:rPr/>
        <w:t>陕西省铜川市新区鸿基路 1 号领地未来城商务中心 1 单元 2201号</w:t>
      </w:r>
    </w:p>
    <w:p>
      <w:pPr>
        <w:pStyle w:val="null3"/>
      </w:pPr>
      <w:r>
        <w:rPr/>
        <w:t xml:space="preserve"> 邮编： </w:t>
      </w:r>
      <w:r>
        <w:rPr/>
        <w:t>727100</w:t>
      </w:r>
    </w:p>
    <w:p>
      <w:pPr>
        <w:pStyle w:val="null3"/>
      </w:pPr>
      <w:r>
        <w:rPr/>
        <w:t xml:space="preserve"> 联系人： </w:t>
      </w:r>
      <w:r>
        <w:rPr/>
        <w:t>高妮</w:t>
      </w:r>
    </w:p>
    <w:p>
      <w:pPr>
        <w:pStyle w:val="null3"/>
      </w:pPr>
      <w:r>
        <w:rPr/>
        <w:t xml:space="preserve"> 联系电话： </w:t>
      </w:r>
      <w:r>
        <w:rPr/>
        <w:t>0919-3198519</w:t>
      </w:r>
    </w:p>
    <w:p>
      <w:pPr>
        <w:pStyle w:val="null3"/>
        <w:outlineLvl w:val="3"/>
      </w:pPr>
      <w:r>
        <w:rPr>
          <w:sz w:val="24"/>
          <w:b/>
        </w:rPr>
        <w:t>采购监督机构：</w:t>
      </w:r>
      <w:r>
        <w:rPr>
          <w:sz w:val="24"/>
          <w:b/>
        </w:rPr>
        <w:t>铜川市耀州区政府采购管理股</w:t>
      </w:r>
    </w:p>
    <w:p>
      <w:pPr>
        <w:pStyle w:val="null3"/>
        <w:ind w:firstLine="480"/>
      </w:pPr>
      <w:r>
        <w:rPr/>
        <w:t>联系人：</w:t>
      </w:r>
      <w:r>
        <w:rPr/>
        <w:t>郭伟</w:t>
      </w:r>
    </w:p>
    <w:p>
      <w:pPr>
        <w:pStyle w:val="null3"/>
        <w:ind w:firstLine="480"/>
      </w:pPr>
      <w:r>
        <w:rPr/>
        <w:t>联系电话：</w:t>
      </w:r>
      <w:r>
        <w:rPr/>
        <w:t>0919-6602227</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采购包1：1,100,304.89元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代理服务费收费标准：参照国家计委颁布的《招标代理服务收费管理暂行办法》（计价格[2002]1980号）和（发改办价格[2011]534号）收费标准执行，按照成交单位成交金额采用差额定率累进法计取。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铜川市公安局耀州分局</w:t>
      </w:r>
      <w:r>
        <w:rPr/>
        <w:t>和</w:t>
      </w:r>
      <w:r>
        <w:rPr/>
        <w:t>西安新策建设工程咨询有限公司</w:t>
      </w:r>
      <w:r>
        <w:rPr/>
        <w:t>享有。对磋商文件中供应商参加本次政府采购活动应当具备的条件，磋商项目技术、服务、商务及其他要求，评审细则及标准由</w:t>
      </w:r>
      <w:r>
        <w:rPr/>
        <w:t>铜川市公安局耀州分局</w:t>
      </w:r>
      <w:r>
        <w:rPr/>
        <w:t>负责解释。除上述磋商文件内容，其他内容由</w:t>
      </w:r>
      <w:r>
        <w:rPr/>
        <w:t>西安新策建设工程咨询有限公司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铜川市公安局耀州分局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西安新策建设工程咨询有限公司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一、必须达到国家及行业现行技术规范标准，符合国家及行业验收合格标准。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 三、验收结果合格的，采购人应向成交供应商出具履约验收报告，成交供应商凭验收报告办理相关手续。 四、验收结果不合格的，履约保证金将不予退还，给采购人造成的损失超过履约保证金数额的，还应当对超过部分予以赔偿；没有提交履约保证金的，应当对采购人的损失承担赔偿责任。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 三、验收结果合格的，采购人应向成交供应商出具履约验收报告，成交供应商凭验收报告办理相关手续。 四、验收结果不合格的，履约保证金将不予退还，给采购人造成的损失超过履约保证金数额的，还应当对超过部分予以赔偿；没有提交履约保证金的，应当对采购人的损失承担赔偿责任。</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西安新策建设工程咨询有限公司</w:t>
      </w:r>
      <w:r>
        <w:rPr/>
        <w:t xml:space="preserve"> 负责答复；供应商对采购过程的询问、质疑由</w:t>
      </w:r>
      <w:r>
        <w:rPr/>
        <w:t>西安新策建设工程咨询有限公司</w:t>
      </w:r>
      <w:r>
        <w:rPr/>
        <w:t xml:space="preserve"> 负责答复；供应商对采购结果的询问、质疑由 </w:t>
      </w:r>
      <w:r>
        <w:rPr/>
        <w:t>西安新策建设工程咨询有限公司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联系人：高妮</w:t>
      </w:r>
    </w:p>
    <w:p>
      <w:pPr>
        <w:pStyle w:val="null3"/>
      </w:pPr>
      <w:r>
        <w:rPr/>
        <w:t>联系电话：0919-3198519</w:t>
      </w:r>
    </w:p>
    <w:p>
      <w:pPr>
        <w:pStyle w:val="null3"/>
      </w:pPr>
      <w:r>
        <w:rPr/>
        <w:t>地址：陕西省铜川市新区鸿基路 1 号领地未来城商务中心 1 单元 2201号</w:t>
      </w:r>
    </w:p>
    <w:p>
      <w:pPr>
        <w:pStyle w:val="null3"/>
      </w:pPr>
      <w:r>
        <w:rPr/>
        <w:t>邮编：727100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1,100,304.89</w:t>
      </w:r>
    </w:p>
    <w:p>
      <w:pPr>
        <w:pStyle w:val="null3"/>
      </w:pPr>
      <w:r>
        <w:rPr/>
        <w:t>采购包最高限价（元）: 1,100,304.89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1100304.89</w:t>
            </w:r>
          </w:p>
        </w:tc>
        <w:tc>
          <w:tcPr>
            <w:tcW w:type="dxa" w:w="1384"/>
          </w:tcPr>
          <w:p>
            <w:pPr>
              <w:pStyle w:val="null3"/>
              <w:jc w:val="right"/>
            </w:pPr>
            <w:r>
              <w:rPr/>
              <w:t>1.00</w:t>
            </w:r>
          </w:p>
        </w:tc>
        <w:tc>
          <w:tcPr>
            <w:tcW w:type="dxa" w:w="1384"/>
          </w:tcPr>
          <w:p>
            <w:pPr>
              <w:pStyle w:val="null3"/>
              <w:jc w:val="right"/>
            </w:pPr>
            <w:r>
              <w:rPr/>
              <w:t>1,100,304.89</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标的名称：1100304.89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必须达到国家及行业现行技术规范标准，符合国家及行业验收合格标准。</w:t>
      </w:r>
    </w:p>
    <w:p>
      <w:pPr>
        <w:pStyle w:val="null3"/>
        <w:ind w:firstLine="480"/>
      </w:pPr>
      <w:r>
        <w:rPr/>
        <w:t>三、针对本项目的其他技术服务要求：</w:t>
      </w:r>
    </w:p>
    <w:p>
      <w:pPr>
        <w:pStyle w:val="null3"/>
      </w:pPr>
      <w:r>
        <w:rPr/>
        <w:t>符合国家标准。</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1.工期：60日历天（实际开工日期以采购人批准的开工日期为准）2.工程质量：符合国家现行质量、安全、环保标准及采购人要求；达到“合格”标准。3.磋商有效期：90个日历日（从递交响应文件截止之日起）。 4.质保期：本项目竣工验收合格通过之日起一年。 5.实施地点：采购人指定地点。 6.付款方式：6.1合同签订后 ，达到付款条件起 15 日内，支付合同总金额的 30.00%。6.2 工程完成80% ，达到付款条件起 15 日内，支付合同总金额的 40.00%。6.3验收合格审计后 ，达到付款条件起 15 日内，支付合同总金额的30.00%。7.保修要求：属于保修范围和内容的项目，承包人应在接到维修通知后，1 天内派人维修。发生紧急抢修事故（如上水管跑水、爆裂，供电设施漏、断电等），承包人应在接到事故通知后 2 小时内到达事故现场并于 4 小时内完成应急维修。8.中标单位负责配合甲方统筹协调该楼体相关改造项目工序衔接、各施工单位配合，保证施工的安全和质量，并如期完工。9.成本补偿和风险分担约定：依据《中华人民共和国民法典》、《中华人民共和国政府采购法》的相关条款和本合同约定的相关条款执行。10.违约责任与解决争议的方法：成交、供应商未按合同要求履行，不符合招标技术要求，成交供应商必须无条件更换人员或产品，提高技术，完善质量。否则，采购人有权终止合同，并对成交供应商的违约行为进行追究并依法向成交供应商进行经济索赔。 11.合同其他条款：合同一经签订，不得擅自变更、中止或者终止合同。对确需变更、调整或者中止、终止合同的，由双方协商解决。</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2022或2023年度经审计的财务报告（包含审计报告和审计报告中所涉及的财务报表和报表附注），②可提供2022或2023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企业资质</w:t>
            </w:r>
          </w:p>
        </w:tc>
        <w:tc>
          <w:tcPr>
            <w:tcW w:type="dxa" w:w="3322"/>
          </w:tcPr>
          <w:p>
            <w:pPr>
              <w:pStyle w:val="null3"/>
            </w:pPr>
            <w:r>
              <w:rPr/>
              <w:t>供应商须提供建设行政主管部门颁发的建筑工程施工总承包三级及以上资质，且具有合格有效的安全生产许可证。</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拟派项目负责人资质和专业要求</w:t>
            </w:r>
          </w:p>
        </w:tc>
        <w:tc>
          <w:tcPr>
            <w:tcW w:type="dxa" w:w="3322"/>
          </w:tcPr>
          <w:p>
            <w:pPr>
              <w:pStyle w:val="null3"/>
            </w:pPr>
            <w:r>
              <w:rPr/>
              <w:t>（1）拟派项目经理需提供建筑工程专业二级以上（含二级）建造师证书及安全生产考核合格证（建安B证），且在本单位注册，以及无不良信用记录和无在建工程的承诺书。（2）供应商基本信息及项目经理的基本信息在“陕西省住房和城乡建设厅（http://js.shaanxi.gov.cn/）陕西省建筑市场监管与诚信信息发布平台”可查询。</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财务状况报告</w:t>
            </w:r>
          </w:p>
        </w:tc>
        <w:tc>
          <w:tcPr>
            <w:tcW w:type="dxa" w:w="3322"/>
          </w:tcPr>
          <w:p>
            <w:pPr>
              <w:pStyle w:val="null3"/>
            </w:pPr>
            <w:r>
              <w:rPr/>
              <w:t>提供2022年或2023年经审计的财务会计报告(包括审计报告、资产负债表、利润表、现金流量表、所有者权益变动表及其附注，成立时间至提交响应文件截止时间不足一年的可提供成立后任意时段的资产负债表)，或其开标前一年内基本开户银行出具的资信证明(以上二种形式的资料提供任何一种即可)。</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社保缴纳证明</w:t>
            </w:r>
          </w:p>
        </w:tc>
        <w:tc>
          <w:tcPr>
            <w:tcW w:type="dxa" w:w="3322"/>
          </w:tcPr>
          <w:p>
            <w:pPr>
              <w:pStyle w:val="null3"/>
            </w:pPr>
            <w:r>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供应商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履约能力</w:t>
            </w:r>
          </w:p>
        </w:tc>
        <w:tc>
          <w:tcPr>
            <w:tcW w:type="dxa" w:w="3322"/>
          </w:tcPr>
          <w:p>
            <w:pPr>
              <w:pStyle w:val="null3"/>
            </w:pPr>
            <w:r>
              <w:rPr/>
              <w:t>供应商需具有履行合同所必需的设备和专业技术能力，须提供书面承诺书。</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无重大违法记录的书面声明</w:t>
            </w:r>
          </w:p>
        </w:tc>
        <w:tc>
          <w:tcPr>
            <w:tcW w:type="dxa" w:w="3322"/>
          </w:tcPr>
          <w:p>
            <w:pPr>
              <w:pStyle w:val="null3"/>
            </w:pPr>
            <w:r>
              <w:rPr/>
              <w:t>参加本次政府采购活动近3年内经营活动中无重大违法记录声明。</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 关系的，则投标无效。</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法定代表人授权委托书</w:t>
            </w:r>
          </w:p>
        </w:tc>
        <w:tc>
          <w:tcPr>
            <w:tcW w:type="dxa" w:w="3322"/>
          </w:tcPr>
          <w:p>
            <w:pPr>
              <w:pStyle w:val="null3"/>
            </w:pPr>
            <w:r>
              <w:rPr/>
              <w:t>法定代表人直接参加投标的，须出具《法定代表人证明书》及身份证原件；法定代表人授权代表参加投标的，须出具《法定代表人授权书》及授权代表身份证原件。响应文件中凡是需要法定代表人盖章之处，非法人单位的负责人均参照执行</w:t>
            </w:r>
          </w:p>
        </w:tc>
        <w:tc>
          <w:tcPr>
            <w:tcW w:type="dxa" w:w="1661"/>
          </w:tcPr>
          <w:p>
            <w:pPr>
              <w:pStyle w:val="null3"/>
            </w:pPr>
            <w:r>
              <w:rPr/>
              <w:t>供应商应提交的相关资格证明材料</w:t>
            </w:r>
          </w:p>
        </w:tc>
      </w:tr>
      <w:tr>
        <w:tc>
          <w:tcPr>
            <w:tcW w:type="dxa" w:w="831"/>
          </w:tcPr>
          <w:p>
            <w:pPr>
              <w:pStyle w:val="null3"/>
            </w:pPr>
            <w:r>
              <w:rPr/>
              <w:t>12</w:t>
            </w:r>
          </w:p>
        </w:tc>
        <w:tc>
          <w:tcPr>
            <w:tcW w:type="dxa" w:w="2492"/>
          </w:tcPr>
          <w:p>
            <w:pPr>
              <w:pStyle w:val="null3"/>
            </w:pPr>
            <w:r>
              <w:rPr/>
              <w:t>非联合体承诺函</w:t>
            </w:r>
          </w:p>
        </w:tc>
        <w:tc>
          <w:tcPr>
            <w:tcW w:type="dxa" w:w="3322"/>
          </w:tcPr>
          <w:p>
            <w:pPr>
              <w:pStyle w:val="null3"/>
            </w:pPr>
            <w:r>
              <w:rPr/>
              <w:t>供应商应提供《非联合体承诺函》视为独立响应。</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已标价工程量清单 标的清单</w:t>
            </w:r>
          </w:p>
        </w:tc>
      </w:tr>
      <w:tr>
        <w:tc>
          <w:tcPr>
            <w:tcW w:type="dxa" w:w="831"/>
          </w:tcPr>
          <w:p>
            <w:pPr>
              <w:pStyle w:val="null3"/>
            </w:pPr>
            <w:r>
              <w:rPr/>
              <w:t>3</w:t>
            </w:r>
          </w:p>
        </w:tc>
        <w:tc>
          <w:tcPr>
            <w:tcW w:type="dxa" w:w="2492"/>
          </w:tcPr>
          <w:p>
            <w:pPr>
              <w:pStyle w:val="null3"/>
            </w:pPr>
            <w:r>
              <w:rPr/>
              <w:t>响应文件签署、盖章</w:t>
            </w:r>
          </w:p>
        </w:tc>
        <w:tc>
          <w:tcPr>
            <w:tcW w:type="dxa" w:w="3322"/>
          </w:tcPr>
          <w:p>
            <w:pPr>
              <w:pStyle w:val="null3"/>
            </w:pPr>
            <w:r>
              <w:rPr/>
              <w:t>供应商必须按照磋商文件的规定和要求在响应文件中指定的页面落款处加盖公章或由法定代表人或授权人签名（或盖章），其余页面逐页盖公章，否则将作为无效响应文件处理。磋商文件凡是要求法定代表人签名或盖章之处，非法人单位的负责人参照执行。</w:t>
            </w:r>
          </w:p>
        </w:tc>
        <w:tc>
          <w:tcPr>
            <w:tcW w:type="dxa" w:w="1661"/>
          </w:tcPr>
          <w:p>
            <w:pPr>
              <w:pStyle w:val="null3"/>
            </w:pPr>
            <w:r>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4</w:t>
            </w:r>
          </w:p>
        </w:tc>
        <w:tc>
          <w:tcPr>
            <w:tcW w:type="dxa" w:w="2492"/>
          </w:tcPr>
          <w:p>
            <w:pPr>
              <w:pStyle w:val="null3"/>
            </w:pPr>
            <w:r>
              <w:rPr/>
              <w:t>工期</w:t>
            </w:r>
          </w:p>
        </w:tc>
        <w:tc>
          <w:tcPr>
            <w:tcW w:type="dxa" w:w="3322"/>
          </w:tcPr>
          <w:p>
            <w:pPr>
              <w:pStyle w:val="null3"/>
            </w:pPr>
            <w:r>
              <w:rPr/>
              <w:t>工期满足采购文件要求</w:t>
            </w:r>
          </w:p>
        </w:tc>
        <w:tc>
          <w:tcPr>
            <w:tcW w:type="dxa" w:w="1661"/>
          </w:tcPr>
          <w:p>
            <w:pPr>
              <w:pStyle w:val="null3"/>
            </w:pPr>
            <w:r>
              <w:rPr/>
              <w:t>标的清单</w:t>
            </w:r>
          </w:p>
        </w:tc>
      </w:tr>
      <w:tr>
        <w:tc>
          <w:tcPr>
            <w:tcW w:type="dxa" w:w="831"/>
          </w:tcPr>
          <w:p>
            <w:pPr>
              <w:pStyle w:val="null3"/>
            </w:pPr>
            <w:r>
              <w:rPr/>
              <w:t>5</w:t>
            </w:r>
          </w:p>
        </w:tc>
        <w:tc>
          <w:tcPr>
            <w:tcW w:type="dxa" w:w="2492"/>
          </w:tcPr>
          <w:p>
            <w:pPr>
              <w:pStyle w:val="null3"/>
            </w:pPr>
            <w:r>
              <w:rPr/>
              <w:t>工程质量</w:t>
            </w:r>
          </w:p>
        </w:tc>
        <w:tc>
          <w:tcPr>
            <w:tcW w:type="dxa" w:w="3322"/>
          </w:tcPr>
          <w:p>
            <w:pPr>
              <w:pStyle w:val="null3"/>
            </w:pPr>
            <w:r>
              <w:rPr/>
              <w:t>工程质量满足采购文件要求</w:t>
            </w:r>
          </w:p>
        </w:tc>
        <w:tc>
          <w:tcPr>
            <w:tcW w:type="dxa" w:w="1661"/>
          </w:tcPr>
          <w:p>
            <w:pPr>
              <w:pStyle w:val="null3"/>
            </w:pPr>
            <w:r>
              <w:rPr/>
              <w:t>标的清单</w:t>
            </w:r>
          </w:p>
        </w:tc>
      </w:tr>
      <w:tr>
        <w:tc>
          <w:tcPr>
            <w:tcW w:type="dxa" w:w="831"/>
          </w:tcPr>
          <w:p>
            <w:pPr>
              <w:pStyle w:val="null3"/>
            </w:pPr>
            <w:r>
              <w:rPr/>
              <w:t>6</w:t>
            </w:r>
          </w:p>
        </w:tc>
        <w:tc>
          <w:tcPr>
            <w:tcW w:type="dxa" w:w="2492"/>
          </w:tcPr>
          <w:p>
            <w:pPr>
              <w:pStyle w:val="null3"/>
            </w:pPr>
            <w:r>
              <w:rPr/>
              <w:t>质保期</w:t>
            </w:r>
          </w:p>
        </w:tc>
        <w:tc>
          <w:tcPr>
            <w:tcW w:type="dxa" w:w="3322"/>
          </w:tcPr>
          <w:p>
            <w:pPr>
              <w:pStyle w:val="null3"/>
            </w:pPr>
            <w:r>
              <w:rPr/>
              <w:t>符合磋商文件的规定</w:t>
            </w:r>
          </w:p>
        </w:tc>
        <w:tc>
          <w:tcPr>
            <w:tcW w:type="dxa" w:w="1661"/>
          </w:tcPr>
          <w:p>
            <w:pPr>
              <w:pStyle w:val="null3"/>
            </w:pPr>
            <w:r>
              <w:rPr/>
              <w:t>技术服务合同条款及其他商务要求应答表</w:t>
            </w:r>
          </w:p>
        </w:tc>
      </w:tr>
      <w:tr>
        <w:tc>
          <w:tcPr>
            <w:tcW w:type="dxa" w:w="831"/>
          </w:tcPr>
          <w:p>
            <w:pPr>
              <w:pStyle w:val="null3"/>
            </w:pPr>
            <w:r>
              <w:rPr/>
              <w:t>7</w:t>
            </w:r>
          </w:p>
        </w:tc>
        <w:tc>
          <w:tcPr>
            <w:tcW w:type="dxa" w:w="2492"/>
          </w:tcPr>
          <w:p>
            <w:pPr>
              <w:pStyle w:val="null3"/>
            </w:pPr>
            <w:r>
              <w:rPr/>
              <w:t>磋商有效期</w:t>
            </w:r>
          </w:p>
        </w:tc>
        <w:tc>
          <w:tcPr>
            <w:tcW w:type="dxa" w:w="3322"/>
          </w:tcPr>
          <w:p>
            <w:pPr>
              <w:pStyle w:val="null3"/>
            </w:pPr>
            <w:r>
              <w:rPr/>
              <w:t>符合磋商文件中的规定</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不存在恶意串通的情形</w:t>
            </w:r>
          </w:p>
        </w:tc>
        <w:tc>
          <w:tcPr>
            <w:tcW w:type="dxa" w:w="3322"/>
          </w:tcPr>
          <w:p>
            <w:pPr>
              <w:pStyle w:val="null3"/>
            </w:pPr>
            <w:r>
              <w:rPr/>
              <w:t>不存在以下情形：（1）不同供应商的响应文件由同一单位或者个人编制；（2）不同供应商委托同一单位或者个人办理磋商事宜；（3）不同供应商的响应文件载明的项目管理成员或者联系人员为同一人；（4）不同供应商的响应文件异常一致或者响应报价呈规律性差异；（5）不同供应商的响应文件相互混装。</w:t>
            </w:r>
          </w:p>
        </w:tc>
        <w:tc>
          <w:tcPr>
            <w:tcW w:type="dxa" w:w="1661"/>
          </w:tcPr>
          <w:p>
            <w:pPr>
              <w:pStyle w:val="null3"/>
            </w:pPr>
            <w:r>
              <w:rPr/>
              <w:t>项目管理机构组成表 技术服务合同条款及其他商务要求应答表 供应商应提交的相关资格证明材料 标的清单 主要人员简历表</w:t>
            </w:r>
          </w:p>
        </w:tc>
      </w:tr>
      <w:tr>
        <w:tc>
          <w:tcPr>
            <w:tcW w:type="dxa" w:w="831"/>
          </w:tcPr>
          <w:p>
            <w:pPr>
              <w:pStyle w:val="null3"/>
            </w:pPr>
            <w:r>
              <w:rPr/>
              <w:t>9</w:t>
            </w:r>
          </w:p>
        </w:tc>
        <w:tc>
          <w:tcPr>
            <w:tcW w:type="dxa" w:w="2492"/>
          </w:tcPr>
          <w:p>
            <w:pPr>
              <w:pStyle w:val="null3"/>
            </w:pPr>
            <w:r>
              <w:rPr/>
              <w:t>响应文件内容</w:t>
            </w:r>
          </w:p>
        </w:tc>
        <w:tc>
          <w:tcPr>
            <w:tcW w:type="dxa" w:w="3322"/>
          </w:tcPr>
          <w:p>
            <w:pPr>
              <w:pStyle w:val="null3"/>
            </w:pPr>
            <w:r>
              <w:rPr/>
              <w:t>响应文件内容齐全、无遗漏</w:t>
            </w:r>
          </w:p>
        </w:tc>
        <w:tc>
          <w:tcPr>
            <w:tcW w:type="dxa" w:w="1661"/>
          </w:tcPr>
          <w:p>
            <w:pPr>
              <w:pStyle w:val="null3"/>
            </w:pPr>
            <w:r>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10</w:t>
            </w:r>
          </w:p>
        </w:tc>
        <w:tc>
          <w:tcPr>
            <w:tcW w:type="dxa" w:w="2492"/>
          </w:tcPr>
          <w:p>
            <w:pPr>
              <w:pStyle w:val="null3"/>
            </w:pPr>
            <w:r>
              <w:rPr/>
              <w:t>已标价工程量清单</w:t>
            </w:r>
          </w:p>
        </w:tc>
        <w:tc>
          <w:tcPr>
            <w:tcW w:type="dxa" w:w="3322"/>
          </w:tcPr>
          <w:p>
            <w:pPr>
              <w:pStyle w:val="null3"/>
            </w:pPr>
            <w:r>
              <w:rPr/>
              <w:t>应符合磋商文件给出的范围和数量</w:t>
            </w:r>
          </w:p>
        </w:tc>
        <w:tc>
          <w:tcPr>
            <w:tcW w:type="dxa" w:w="1661"/>
          </w:tcPr>
          <w:p>
            <w:pPr>
              <w:pStyle w:val="null3"/>
            </w:pPr>
            <w:r>
              <w:rPr/>
              <w:t>已标价工程量清单</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施工方案完整、合理、可行，完全满足本次采购要求，计（14-21）分。施工方案一般、可操作性一般，计(7-14]分 。施工方案不完整、不合理、可操作性较差，计(0-7]分 。</w:t>
            </w:r>
          </w:p>
        </w:tc>
        <w:tc>
          <w:tcPr>
            <w:tcW w:type="dxa" w:w="831"/>
          </w:tcPr>
          <w:p>
            <w:pPr>
              <w:pStyle w:val="null3"/>
              <w:jc w:val="right"/>
            </w:pPr>
            <w:r>
              <w:rPr/>
              <w:t>21.0000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工程质量的技术组织措施完整、合理，完全满足本次采购要求，计（4-6）分。工程质量的技术组织措施不完整、不合理，计(2-4]分 。工程质量的技术组织措施较简单，计(0-2]分 。</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安全生产的技术组织措施完整、合理，完全满足本次采购要求，计（4-6）分。安全生产的技术组织措施不完整、不合理，计(2-4]分 。安全生产的技术组织措施较简单，计(0-2]分 。</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确保工期的技术组织措施</w:t>
            </w:r>
          </w:p>
        </w:tc>
        <w:tc>
          <w:tcPr>
            <w:tcW w:type="dxa" w:w="2492"/>
          </w:tcPr>
          <w:p>
            <w:pPr>
              <w:pStyle w:val="null3"/>
            </w:pPr>
            <w:r>
              <w:rPr/>
              <w:t>工期的技术组织措施完整、合理、可行，完全满足本次采购要求计，计（4-6）分。工期的技术组织措施不完整、不合理，计(2-4]分 。工期的技术组织措施较简单，计(0-2]分 。</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确保文明施工的技术组织措施及环境保护措施</w:t>
            </w:r>
          </w:p>
        </w:tc>
        <w:tc>
          <w:tcPr>
            <w:tcW w:type="dxa" w:w="2492"/>
          </w:tcPr>
          <w:p>
            <w:pPr>
              <w:pStyle w:val="null3"/>
            </w:pPr>
            <w:r>
              <w:rPr/>
              <w:t>文明施工的技术组织措施及环境保护措施完整、合理，完全满足本次采购要求，计（4-6）分。文明施工的技术组织措施及环境保护措施不完整、不合理，计(2-4]分 。文明施工的技术组织措施及环境保护措施较简单，计(0-2]分 。</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资源配备计划</w:t>
            </w:r>
          </w:p>
        </w:tc>
        <w:tc>
          <w:tcPr>
            <w:tcW w:type="dxa" w:w="2492"/>
          </w:tcPr>
          <w:p>
            <w:pPr>
              <w:pStyle w:val="null3"/>
            </w:pPr>
            <w:r>
              <w:rPr/>
              <w:t>投入的施工机械、设备、机具有详细计划且计划周密，设备数量、选型配置、进场数量、进场时间等计划安排满足施工需要；各主要施工工序应有详细周密的劳动力安排计划明细，有各工种劳动力安排计划，劳动力投入经济合理，满足施工需要。资源配备计划完善、合理可行，计（4-6）分。资源配备计划不完整、不合理，计(2-4]分。资源配备计划较简单，计(0-2]分 。</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施工现场平面布置</w:t>
            </w:r>
          </w:p>
        </w:tc>
        <w:tc>
          <w:tcPr>
            <w:tcW w:type="dxa" w:w="2492"/>
          </w:tcPr>
          <w:p>
            <w:pPr>
              <w:pStyle w:val="null3"/>
            </w:pPr>
            <w:r>
              <w:rPr/>
              <w:t>针对本工程项目特点，应有现场平面布置措施，各项措施周全、具体、有效，计（2-3）分。现场平面布置，各项措施不完整、不合理，计(1-2]分 。现场平面布置，各项措施较简单，计(0-1]分 。</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项目经理部组成</w:t>
            </w:r>
          </w:p>
        </w:tc>
        <w:tc>
          <w:tcPr>
            <w:tcW w:type="dxa" w:w="2492"/>
          </w:tcPr>
          <w:p>
            <w:pPr>
              <w:pStyle w:val="null3"/>
            </w:pPr>
            <w:r>
              <w:rPr/>
              <w:t>项目组人员架构完整、人员构成、服务经验合理，计（3-5）分。项目组人员架构完整、人员构成、服务经验不完整、不合理，计(1-3]分 。项目组人员架构完整、人员构成、服务经验较简单，计(0-1]分 。</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新技术、新设备、新工艺、 新材料应用</w:t>
            </w:r>
          </w:p>
        </w:tc>
        <w:tc>
          <w:tcPr>
            <w:tcW w:type="dxa" w:w="2492"/>
          </w:tcPr>
          <w:p>
            <w:pPr>
              <w:pStyle w:val="null3"/>
            </w:pPr>
            <w:r>
              <w:rPr/>
              <w:t>采用新技术、新产品、新工艺、新材料对提高质量、缩短工期、降低造价有切实的可行性、合理性，计（2-3）分。新技术、新设备、新工艺、新材料应用方案不完整、不合理，计(1-2]分 。新技术、新设备、新工艺、新材料应用方案较简单，计(0-1]分。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服务承诺及保障措施</w:t>
            </w:r>
          </w:p>
        </w:tc>
        <w:tc>
          <w:tcPr>
            <w:tcW w:type="dxa" w:w="2492"/>
          </w:tcPr>
          <w:p>
            <w:pPr>
              <w:pStyle w:val="null3"/>
            </w:pPr>
            <w:r>
              <w:rPr/>
              <w:t>售后服务体系完善，针对本项目及采购人实际需求提供详细具体可行的售后服务措施及承诺以及工程竣工验收合格后使用过程中因质量问题而产生的补救措施。服务承诺及保障措施完善、科学合理，计（3-5）分。服务承诺及保障措施不完整、不合理，计(1-3]分 。服务承诺及保障措施较简单，计(0-1]分 。</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类似项目业绩</w:t>
            </w:r>
          </w:p>
        </w:tc>
        <w:tc>
          <w:tcPr>
            <w:tcW w:type="dxa" w:w="2492"/>
          </w:tcPr>
          <w:p>
            <w:pPr>
              <w:pStyle w:val="null3"/>
            </w:pPr>
            <w:r>
              <w:rPr/>
              <w:t>提供2021年1月1日至响应文件递交截止日前已完成的工程类业绩（提供合同复印件加盖公章，时间以合同签订日期为准）。每份计1分，计满3分为止。不提供的不得分。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价格分统一采用低价优先法计算，即满足磋商文件要求且最终报价最低的磋商评审价为磋商基准价，其价格分为满分。其他供应商的价格分统一按照下列公式计算： 有效报价得分=（磋商基准价/磋商评审价）×价格权值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