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版本号：241227001</w:t>
      </w:r>
      <w:r>
        <w:br/>
      </w:r>
      <w:r>
        <w:br/>
      </w:r>
      <w:r>
        <w:br/>
      </w:r>
      <w:r>
        <w:br/>
      </w:r>
      <w:r>
        <w:br/>
      </w:r>
    </w:p>
    <w:p>
      <w:pPr>
        <w:pStyle w:val="null3"/>
        <w:jc w:val="center"/>
        <w:outlineLvl w:val="0"/>
      </w:pPr>
      <w:r>
        <w:rPr>
          <w:sz w:val="48"/>
          <w:b/>
        </w:rPr>
        <w:t>招 标 文 件</w:t>
      </w:r>
      <w:r>
        <w:br/>
      </w:r>
      <w:r>
        <w:br/>
      </w:r>
      <w:r>
        <w:br/>
      </w:r>
    </w:p>
    <w:p>
      <w:pPr>
        <w:pStyle w:val="null3"/>
        <w:jc w:val="center"/>
        <w:outlineLvl w:val="1"/>
      </w:pPr>
      <w:r>
        <w:rPr>
          <w:sz w:val="36"/>
          <w:b/>
        </w:rPr>
        <w:t>（货物类）</w:t>
      </w:r>
      <w:r>
        <w:br/>
      </w:r>
      <w:r>
        <w:br/>
      </w:r>
      <w:r>
        <w:br/>
      </w:r>
      <w:r>
        <w:br/>
      </w:r>
      <w:r>
        <w:br/>
      </w:r>
      <w:r>
        <w:br/>
      </w:r>
      <w:r>
        <w:br/>
      </w:r>
      <w:r>
        <w:br/>
      </w:r>
      <w:r>
        <w:br/>
      </w:r>
      <w:r>
        <w:br/>
      </w:r>
      <w:r>
        <w:br/>
      </w:r>
    </w:p>
    <w:p>
      <w:pPr>
        <w:pStyle w:val="null3"/>
        <w:jc w:val="center"/>
        <w:outlineLvl w:val="2"/>
      </w:pPr>
      <w:r>
        <w:rPr>
          <w:sz w:val="28"/>
          <w:b/>
        </w:rPr>
        <w:t>采购项目名称：</w:t>
      </w:r>
      <w:r>
        <w:rPr>
          <w:sz w:val="28"/>
          <w:b/>
        </w:rPr>
        <w:t>耀州区国有林场无人机日常巡查巡检建设项目(三次)</w:t>
      </w:r>
    </w:p>
    <w:p>
      <w:pPr>
        <w:pStyle w:val="null3"/>
        <w:jc w:val="center"/>
        <w:outlineLvl w:val="2"/>
      </w:pPr>
      <w:r>
        <w:rPr>
          <w:sz w:val="28"/>
          <w:b/>
        </w:rPr>
        <w:t>采购项目编号：</w:t>
      </w:r>
      <w:r>
        <w:rPr>
          <w:sz w:val="28"/>
          <w:b/>
        </w:rPr>
        <w:t>YMD-2024372F</w:t>
      </w:r>
      <w:r>
        <w:br/>
      </w:r>
      <w:r>
        <w:br/>
      </w:r>
      <w:r>
        <w:br/>
      </w:r>
    </w:p>
    <w:p>
      <w:pPr>
        <w:pStyle w:val="null3"/>
        <w:jc w:val="center"/>
        <w:outlineLvl w:val="2"/>
      </w:pPr>
      <w:r>
        <w:rPr>
          <w:sz w:val="28"/>
          <w:b/>
        </w:rPr>
        <w:t>铜川市耀州区林业局</w:t>
      </w:r>
    </w:p>
    <w:p>
      <w:pPr>
        <w:pStyle w:val="null3"/>
        <w:jc w:val="center"/>
        <w:outlineLvl w:val="2"/>
      </w:pPr>
      <w:r>
        <w:rPr>
          <w:sz w:val="28"/>
          <w:b/>
        </w:rPr>
        <w:t>永明项目管理有限公司</w:t>
      </w:r>
      <w:r>
        <w:rPr>
          <w:sz w:val="28"/>
          <w:b/>
        </w:rPr>
        <w:t>共同编制</w:t>
      </w:r>
    </w:p>
    <w:p>
      <w:pPr>
        <w:pStyle w:val="null3"/>
        <w:jc w:val="center"/>
        <w:outlineLvl w:val="2"/>
      </w:pPr>
      <w:r>
        <w:rPr>
          <w:sz w:val="28"/>
          <w:b/>
        </w:rPr>
        <w:t>2024年12月27日</w:t>
      </w:r>
    </w:p>
    <w:p>
      <w:pPr>
        <w:pStyle w:val="null3"/>
      </w:pPr>
      <w:r>
        <w:rPr/>
        <w:t xml:space="preserve"> </w:t>
        <w:br/>
        <w:br w:type="page"/>
      </w:r>
    </w:p>
    <w:p>
      <w:pPr>
        <w:pStyle w:val="null3"/>
        <w:jc w:val="center"/>
        <w:outlineLvl w:val="1"/>
      </w:pPr>
      <w:r>
        <w:rPr>
          <w:sz w:val="36"/>
          <w:b/>
        </w:rPr>
        <w:t>第一章 投标邀请</w:t>
      </w:r>
    </w:p>
    <w:p>
      <w:pPr>
        <w:pStyle w:val="null3"/>
        <w:ind w:firstLine="480"/>
      </w:pPr>
      <w:r>
        <w:rPr/>
        <w:t>永明项目管理有限公司</w:t>
      </w:r>
      <w:r>
        <w:rPr/>
        <w:t>（以下简称“代理机构”）受</w:t>
      </w:r>
      <w:r>
        <w:rPr/>
        <w:t>铜川市耀州区林业局</w:t>
      </w:r>
      <w:r>
        <w:rPr/>
        <w:t>委托，拟对</w:t>
      </w:r>
      <w:r>
        <w:rPr/>
        <w:t>耀州区国有林场无人机日常巡查巡检建设项目(三次)</w:t>
      </w:r>
      <w:r>
        <w:rPr/>
        <w:t>进行国内公开招标，兹邀请符合本次招标要求的供应商参加投标。</w:t>
      </w:r>
    </w:p>
    <w:p>
      <w:pPr>
        <w:pStyle w:val="null3"/>
        <w:outlineLvl w:val="2"/>
      </w:pPr>
      <w:r>
        <w:rPr>
          <w:sz w:val="28"/>
          <w:b/>
        </w:rPr>
        <w:t>一、采购项目编号：</w:t>
      </w:r>
      <w:r>
        <w:rPr>
          <w:sz w:val="28"/>
          <w:b/>
        </w:rPr>
        <w:t>YMD-2024372F</w:t>
      </w:r>
    </w:p>
    <w:p>
      <w:pPr>
        <w:pStyle w:val="null3"/>
        <w:outlineLvl w:val="2"/>
      </w:pPr>
      <w:r>
        <w:rPr>
          <w:sz w:val="28"/>
          <w:b/>
        </w:rPr>
        <w:t>二、采购项目名称：</w:t>
      </w:r>
      <w:r>
        <w:rPr>
          <w:sz w:val="28"/>
          <w:b/>
        </w:rPr>
        <w:t>耀州区国有林场无人机日常巡查巡检建设项目(三次)</w:t>
      </w:r>
    </w:p>
    <w:p>
      <w:pPr>
        <w:pStyle w:val="null3"/>
        <w:outlineLvl w:val="2"/>
      </w:pPr>
      <w:r>
        <w:rPr>
          <w:sz w:val="28"/>
          <w:b/>
        </w:rPr>
        <w:t>三、招标项目简介</w:t>
      </w:r>
    </w:p>
    <w:p>
      <w:pPr>
        <w:pStyle w:val="null3"/>
        <w:ind w:firstLine="480"/>
      </w:pPr>
      <w:r>
        <w:rPr/>
        <w:t>在耀州区国有林场引入无人机技术，建立日常森林防火巡查系统。在耀州区国有林场选址10个管护站，部署10台无人机机场；每台无人机机场包含配套的巡查无人机，每台无人机巡查覆盖半径不低于4公里；搭建服务器和算力中心，开发配套的无人机智能森林巡查指挥系统1套。通过无人机的应用，实现对林区的常态化无人机巡查和实时监控，及时发现火情，提高森林防火的效率和准确性。</w:t>
      </w:r>
    </w:p>
    <w:p>
      <w:pPr>
        <w:pStyle w:val="null3"/>
        <w:outlineLvl w:val="2"/>
      </w:pPr>
      <w:r>
        <w:rPr>
          <w:sz w:val="28"/>
          <w:b/>
        </w:rPr>
        <w:t>四、供应商参加本次政府采购活动应具备的条件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1.执行政府采购促进中小企业发展的相关政策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1、身份证明：法定代表人（主要负责人）委托代理人参加投标时，应提供法定代表人（主要负责人）委托授权书；法定代表人（主要负责人）亲自参加投标时，应提供法定代表人（主要负责人）身份证明书；</w:t>
      </w:r>
    </w:p>
    <w:p>
      <w:pPr>
        <w:pStyle w:val="null3"/>
      </w:pPr>
      <w:r>
        <w:rPr/>
        <w:t>2、财务状况报告：①提交2023年度经审计的财务会计报告（至少包括审计报告、资产负债表、现金流量表和利润表，成立时间至提交响应文件截止时间不足一年的可提供成立后任意时段的资产负债表）②提交响应文件截止时间三个月内其基本账户开户银行出具的资信证明；备注：以上两种形式的资料提供任何一种即可；</w:t>
      </w:r>
    </w:p>
    <w:p>
      <w:pPr>
        <w:pStyle w:val="null3"/>
      </w:pPr>
      <w:r>
        <w:rPr/>
        <w:t>3、税收缴纳证明：提交响应文件截止时间前一年内至少一个月的纳税证明或完税证明，纳税证明或完税证明上应有代收机构或税务机关的公章或业务专用章。（依法免税的供应商应提供相应文件证明）</w:t>
      </w:r>
    </w:p>
    <w:p>
      <w:pPr>
        <w:pStyle w:val="null3"/>
      </w:pPr>
      <w:r>
        <w:rPr/>
        <w:t>4、社会保障缴纳证明：提交响应文件截止时间前一年内至少一个月的社会保障资金缴存单据或社保机构开具的社会保险参保缴费情况证明，单据或证明上应有社保机构或代收机构的公章或业务专用章。（依法不需要缴纳社会保障资金的供应商应提供相应文件证明）；</w:t>
      </w:r>
    </w:p>
    <w:p>
      <w:pPr>
        <w:pStyle w:val="null3"/>
      </w:pPr>
      <w:r>
        <w:rPr/>
        <w:t>5、控股关系证明：单位负责人为同一人或者存在直接控股、管理关系的不同供应商，不得参加同一合同项下的政府采购活动。</w:t>
      </w:r>
    </w:p>
    <w:p>
      <w:pPr>
        <w:pStyle w:val="null3"/>
        <w:outlineLvl w:val="2"/>
      </w:pPr>
      <w:r>
        <w:rPr>
          <w:sz w:val="28"/>
          <w:b/>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六、招标文件获取时间、方式及地址</w:t>
      </w:r>
    </w:p>
    <w:p>
      <w:pPr>
        <w:pStyle w:val="null3"/>
        <w:ind w:firstLine="480"/>
      </w:pPr>
      <w:r>
        <w:rPr/>
        <w:t>（一）招标文件获取时间：详见采购公告</w:t>
      </w:r>
    </w:p>
    <w:p>
      <w:pPr>
        <w:pStyle w:val="null3"/>
        <w:ind w:firstLine="480"/>
      </w:pPr>
      <w:r>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t>注：获取的招标文件主体格式包括pdf、word两种格式版本，其中以pdf格式为准。</w:t>
      </w:r>
    </w:p>
    <w:p>
      <w:pPr>
        <w:pStyle w:val="null3"/>
        <w:outlineLvl w:val="2"/>
      </w:pPr>
      <w:r>
        <w:rPr>
          <w:sz w:val="28"/>
          <w:b/>
        </w:rPr>
        <w:t>七、投标文件提交截止时间及开标时间、地点、方式</w:t>
      </w:r>
    </w:p>
    <w:p>
      <w:pPr>
        <w:pStyle w:val="null3"/>
        <w:ind w:firstLine="480"/>
      </w:pPr>
      <w:r>
        <w:rPr/>
        <w:t>（一）投标文件提交截止时间及开标时间：详见采购公告</w:t>
      </w:r>
    </w:p>
    <w:p>
      <w:pPr>
        <w:pStyle w:val="null3"/>
        <w:ind w:firstLine="480"/>
      </w:pPr>
      <w:r>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t>（三）本项目采取网上开标，即采购人或代理机构通过项目电子化交易系统“开标/开启大厅”组织在线开标。</w:t>
      </w:r>
    </w:p>
    <w:p>
      <w:pPr>
        <w:pStyle w:val="null3"/>
        <w:outlineLvl w:val="2"/>
      </w:pPr>
      <w:r>
        <w:rPr>
          <w:sz w:val="28"/>
          <w:b/>
        </w:rPr>
        <w:t>八、本投标邀请在陕西省政府采购网以公告形式发布</w:t>
      </w:r>
    </w:p>
    <w:p>
      <w:pPr>
        <w:pStyle w:val="null3"/>
        <w:outlineLvl w:val="2"/>
      </w:pPr>
      <w:r>
        <w:rPr>
          <w:sz w:val="28"/>
          <w:b/>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十、联系方式</w:t>
      </w:r>
    </w:p>
    <w:p>
      <w:pPr>
        <w:pStyle w:val="null3"/>
        <w:outlineLvl w:val="2"/>
      </w:pPr>
      <w:r>
        <w:rPr>
          <w:sz w:val="28"/>
          <w:b/>
        </w:rPr>
        <w:t xml:space="preserve">采购人： </w:t>
      </w:r>
      <w:r>
        <w:rPr>
          <w:sz w:val="28"/>
          <w:b/>
        </w:rPr>
        <w:t>铜川市耀州区林业局</w:t>
      </w:r>
    </w:p>
    <w:p>
      <w:pPr>
        <w:pStyle w:val="null3"/>
      </w:pPr>
      <w:r>
        <w:rPr/>
        <w:t xml:space="preserve"> 地址： </w:t>
      </w:r>
      <w:r>
        <w:rPr/>
        <w:t>铜川市耀州区北大街199号</w:t>
      </w:r>
    </w:p>
    <w:p>
      <w:pPr>
        <w:pStyle w:val="null3"/>
      </w:pPr>
      <w:r>
        <w:rPr/>
        <w:t xml:space="preserve"> 邮编： </w:t>
      </w:r>
      <w:r>
        <w:rPr/>
        <w:t>727100</w:t>
      </w:r>
    </w:p>
    <w:p>
      <w:pPr>
        <w:pStyle w:val="null3"/>
      </w:pPr>
      <w:r>
        <w:rPr/>
        <w:t xml:space="preserve"> 联系人： </w:t>
      </w:r>
      <w:r>
        <w:rPr/>
        <w:t>李攀</w:t>
      </w:r>
    </w:p>
    <w:p>
      <w:pPr>
        <w:pStyle w:val="null3"/>
      </w:pPr>
      <w:r>
        <w:rPr/>
        <w:t xml:space="preserve"> 联系电话： </w:t>
      </w:r>
      <w:r>
        <w:rPr/>
        <w:t>13992921689</w:t>
      </w:r>
    </w:p>
    <w:p>
      <w:pPr>
        <w:pStyle w:val="null3"/>
        <w:outlineLvl w:val="2"/>
      </w:pPr>
      <w:r>
        <w:rPr>
          <w:sz w:val="28"/>
          <w:b/>
        </w:rPr>
        <w:t>代理机构：</w:t>
      </w:r>
      <w:r>
        <w:rPr>
          <w:sz w:val="28"/>
          <w:b/>
        </w:rPr>
        <w:t>永明项目管理有限公司</w:t>
      </w:r>
    </w:p>
    <w:p>
      <w:pPr>
        <w:pStyle w:val="null3"/>
      </w:pPr>
      <w:r>
        <w:rPr/>
        <w:t xml:space="preserve"> 地址： </w:t>
      </w:r>
      <w:r>
        <w:rPr/>
        <w:t>陕西省西咸新区沣西新城尚业路1309号总部经济园6号楼516室</w:t>
      </w:r>
    </w:p>
    <w:p>
      <w:pPr>
        <w:pStyle w:val="null3"/>
      </w:pPr>
      <w:r>
        <w:rPr/>
        <w:t xml:space="preserve"> 邮编： </w:t>
      </w:r>
      <w:r>
        <w:rPr/>
        <w:t>710065</w:t>
      </w:r>
    </w:p>
    <w:p>
      <w:pPr>
        <w:pStyle w:val="null3"/>
      </w:pPr>
      <w:r>
        <w:rPr/>
        <w:t xml:space="preserve"> 联系人： </w:t>
      </w:r>
      <w:r>
        <w:rPr/>
        <w:t>杨洲</w:t>
      </w:r>
    </w:p>
    <w:p>
      <w:pPr>
        <w:pStyle w:val="null3"/>
      </w:pPr>
      <w:r>
        <w:rPr/>
        <w:t xml:space="preserve"> 联系电话： </w:t>
      </w:r>
      <w:r>
        <w:rPr/>
        <w:t>18392304027</w:t>
      </w:r>
    </w:p>
    <w:p>
      <w:pPr>
        <w:pStyle w:val="null3"/>
        <w:outlineLvl w:val="2"/>
      </w:pPr>
      <w:r>
        <w:rPr>
          <w:sz w:val="28"/>
          <w:b/>
        </w:rPr>
        <w:t>采购监督机构：</w:t>
      </w:r>
      <w:r>
        <w:rPr>
          <w:sz w:val="28"/>
          <w:b/>
        </w:rPr>
        <w:t>铜川市耀州区政府采购管理股</w:t>
      </w:r>
    </w:p>
    <w:p>
      <w:pPr>
        <w:pStyle w:val="null3"/>
        <w:ind w:firstLine="480"/>
      </w:pPr>
      <w:r>
        <w:rPr/>
        <w:t>联系人：</w:t>
      </w:r>
      <w:r>
        <w:rPr/>
        <w:t>肖静</w:t>
      </w:r>
    </w:p>
    <w:p>
      <w:pPr>
        <w:pStyle w:val="null3"/>
        <w:ind w:firstLine="480"/>
      </w:pPr>
      <w:r>
        <w:rPr/>
        <w:t>联系电话：</w:t>
      </w:r>
      <w:r>
        <w:rPr/>
        <w:t>0919-6602227</w:t>
      </w:r>
    </w:p>
    <w:p>
      <w:pPr>
        <w:pStyle w:val="null3"/>
      </w:pPr>
      <w:r>
        <w:rPr/>
        <w:t xml:space="preserve"> </w:t>
        <w:br/>
        <w:br w:type="page"/>
      </w:r>
    </w:p>
    <w:p>
      <w:pPr>
        <w:pStyle w:val="null3"/>
        <w:jc w:val="center"/>
        <w:outlineLvl w:val="1"/>
      </w:pPr>
      <w:r>
        <w:rPr>
          <w:sz w:val="36"/>
          <w:b/>
        </w:rPr>
        <w:t>第二章 投标人须知</w:t>
      </w:r>
    </w:p>
    <w:p>
      <w:pPr>
        <w:pStyle w:val="null3"/>
        <w:outlineLvl w:val="2"/>
      </w:pPr>
      <w:r>
        <w:rPr>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采购包1：1,911,676.00元</w:t>
            </w:r>
            <w:r>
              <w:rPr/>
              <w:t xml:space="preserve"> 投标人的采购包投标报价高于采购包采购预算的，其投标文件将按无效处理。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投标人的采购包投标报价高于最高限价的，其投标文件将按无效处理。</w:t>
            </w:r>
          </w:p>
        </w:tc>
      </w:tr>
      <w:tr>
        <w:tc>
          <w:tcPr>
            <w:tcW w:type="dxa" w:w="1051"/>
          </w:tcPr>
          <w:p>
            <w:pPr>
              <w:pStyle w:val="null3"/>
            </w:pPr>
            <w:r>
              <w:rPr/>
              <w:t>3</w:t>
            </w:r>
          </w:p>
        </w:tc>
        <w:tc>
          <w:tcPr>
            <w:tcW w:type="dxa" w:w="2252"/>
          </w:tcPr>
          <w:p>
            <w:pPr>
              <w:pStyle w:val="null3"/>
            </w:pPr>
            <w:r>
              <w:rPr/>
              <w:t>评标方法</w:t>
            </w:r>
          </w:p>
        </w:tc>
        <w:tc>
          <w:tcPr>
            <w:tcW w:type="dxa" w:w="5004"/>
          </w:tcPr>
          <w:p>
            <w:pPr>
              <w:pStyle w:val="null3"/>
            </w:pPr>
            <w:r>
              <w:rPr/>
              <w:t>采购包1：综合评分法</w:t>
            </w:r>
            <w:r>
              <w:rPr/>
              <w:t xml:space="preserve"> （详见第五章）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如以联合体投标的，联合体各方均应当具备本招标文件要求的资格条件和能力。</w:t>
            </w:r>
          </w:p>
          <w:p>
            <w:pPr>
              <w:pStyle w:val="null3"/>
            </w:pPr>
            <w:r>
              <w:rPr/>
              <w:t xml:space="preserve"> （1）联合体各方均应具有承担本项目必备的条件，如相应的人力、物力、资金等。</w:t>
            </w:r>
          </w:p>
          <w:p>
            <w:pPr>
              <w:pStyle w:val="null3"/>
            </w:pPr>
            <w:r>
              <w:rPr/>
              <w:t xml:space="preserve"> （2）招标文件对投标人资格条件有特殊要求的，联合体各个成员都应当具备规定的相应资格条件。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w:t>
            </w:r>
            <w:r>
              <w:rPr/>
              <w:t>产品属于节能产品政府采购品目清单中应强制采购的产品范围，供应商应当提供国家确定的认证机构出具的、处于有效期之内的节能产品认证证书，否则作无效投标处理。</w:t>
            </w:r>
          </w:p>
          <w:p>
            <w:pPr>
              <w:pStyle w:val="null3"/>
            </w:pPr>
            <w:r>
              <w:rPr/>
              <w:t xml:space="preserve"> 3.本项目采购的</w:t>
            </w:r>
            <w:r>
              <w:rPr/>
              <w:t>/</w:t>
            </w:r>
            <w:r>
              <w:rPr/>
              <w:t>产品属于节能产品政府采购品目清单中应优先采购的产品范围，本项目采购的</w:t>
            </w:r>
            <w:r>
              <w:rPr/>
              <w:t>/</w:t>
            </w:r>
            <w:r>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t>核心产品清单详见第三章。</w:t>
            </w:r>
          </w:p>
          <w:p>
            <w:pPr>
              <w:pStyle w:val="null3"/>
            </w:pPr>
            <w:r>
              <w:rPr/>
              <w:t>在符合性审查环节提供核心产品品牌不足3个的，视为有效投标人不足3家。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投标有效期（实质性要求）</w:t>
            </w:r>
          </w:p>
        </w:tc>
        <w:tc>
          <w:tcPr>
            <w:tcW w:type="dxa" w:w="5004"/>
          </w:tcPr>
          <w:p>
            <w:pPr>
              <w:pStyle w:val="null3"/>
            </w:pPr>
            <w:r>
              <w:rPr/>
              <w:t>提交投标文件的截止之日起不少于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招标代理服务费按国家计委颁发的《招标代理服务收费管理暂行办法》（计价格[2002]1980号）和《国家发展和改革委员会办公厅关于招标代理服务收费有关问题的通知》（发改办价格〔2003〕857号）文件中的有关规定计取。</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中标通知书</w:t>
            </w:r>
          </w:p>
        </w:tc>
        <w:tc>
          <w:tcPr>
            <w:tcW w:type="dxa" w:w="5004"/>
          </w:tcPr>
          <w:p>
            <w:pPr>
              <w:pStyle w:val="null3"/>
            </w:pPr>
            <w:r>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 出现下列情形之一的，采购人或者采购代理机构应当中止电子化采购活动，并保留相关证明材料备查：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一、本招标文件仅适用于本次公开招标采购项目。</w:t>
      </w:r>
    </w:p>
    <w:p>
      <w:pPr>
        <w:pStyle w:val="null3"/>
        <w:ind w:firstLine="480"/>
      </w:pPr>
      <w:r>
        <w:rPr/>
        <w:t xml:space="preserve"> 二、本招标文件的最终解释权由</w:t>
      </w:r>
      <w:r>
        <w:rPr/>
        <w:t>铜川市耀州区林业局</w:t>
      </w:r>
      <w:r>
        <w:rPr/>
        <w:t>和</w:t>
      </w:r>
      <w:r>
        <w:rPr/>
        <w:t>永明项目管理有限公司</w:t>
      </w:r>
      <w:r>
        <w:rPr/>
        <w:t>享有。对招标文件中供应商参加本次政府采购活动应当具备的条件，招标项目技术、服务、商务及其他要求，评标细则及标准由</w:t>
      </w:r>
      <w:r>
        <w:rPr/>
        <w:t>铜川市耀州区林业局</w:t>
      </w:r>
      <w:r>
        <w:rPr/>
        <w:t>负责解释。除上述招标文件内容，其他内容由</w:t>
      </w:r>
      <w:r>
        <w:rPr/>
        <w:t>永明项目管理有限公司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一、“采购人”是指依法进行政府采购的各级国家机关、事业单位、团体组织。本次招标的采购人是</w:t>
      </w:r>
      <w:r>
        <w:rPr/>
        <w:t>铜川市耀州区林业局</w:t>
      </w:r>
      <w:r>
        <w:rPr/>
        <w:t>。</w:t>
      </w:r>
    </w:p>
    <w:p>
      <w:pPr>
        <w:pStyle w:val="null3"/>
        <w:ind w:firstLine="480"/>
      </w:pPr>
      <w:r>
        <w:rPr/>
        <w:t xml:space="preserve"> 二、“投标人”是指按照采购公告规定获取了招标文件，拟参加投标和向采购人提供货物、工程或服务的法人、其他组织或者自然人。</w:t>
      </w:r>
    </w:p>
    <w:p>
      <w:pPr>
        <w:pStyle w:val="null3"/>
        <w:ind w:firstLine="480"/>
      </w:pPr>
      <w:r>
        <w:rPr/>
        <w:t xml:space="preserve"> 三、“代理机构”是指政府采购集中采购机构和从事政府采购代理业务的社会中介机构。本项目的代理机构是</w:t>
      </w:r>
      <w:r>
        <w:rPr/>
        <w:t>永明项目管理有限公司</w:t>
      </w:r>
      <w:r>
        <w:rPr/>
        <w:t>。</w:t>
      </w:r>
    </w:p>
    <w:p>
      <w:pPr>
        <w:pStyle w:val="null3"/>
        <w:ind w:firstLine="480"/>
      </w:pPr>
      <w:r>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sz w:val="28"/>
          <w:b/>
        </w:rPr>
        <w:t>2.3招标文件</w:t>
      </w:r>
    </w:p>
    <w:p>
      <w:pPr>
        <w:pStyle w:val="null3"/>
        <w:outlineLvl w:val="3"/>
      </w:pPr>
      <w:r>
        <w:rPr>
          <w:sz w:val="24"/>
          <w:b/>
        </w:rPr>
        <w:t xml:space="preserve"> 2.3.1招标文件的构成</w:t>
      </w:r>
    </w:p>
    <w:p>
      <w:pPr>
        <w:pStyle w:val="null3"/>
        <w:ind w:firstLine="480"/>
      </w:pPr>
      <w:r>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t>（一）投标邀请；</w:t>
      </w:r>
    </w:p>
    <w:p>
      <w:pPr>
        <w:pStyle w:val="null3"/>
        <w:ind w:firstLine="480"/>
      </w:pPr>
      <w:r>
        <w:rPr/>
        <w:t>（二）投标人须知；</w:t>
      </w:r>
    </w:p>
    <w:p>
      <w:pPr>
        <w:pStyle w:val="null3"/>
        <w:ind w:firstLine="480"/>
      </w:pPr>
      <w:r>
        <w:rPr/>
        <w:t>（三）招标项目技术、服务、商务及其他要求；</w:t>
      </w:r>
    </w:p>
    <w:p>
      <w:pPr>
        <w:pStyle w:val="null3"/>
        <w:ind w:firstLine="480"/>
      </w:pPr>
      <w:r>
        <w:rPr/>
        <w:t>（四）资格审查；</w:t>
      </w:r>
    </w:p>
    <w:p>
      <w:pPr>
        <w:pStyle w:val="null3"/>
        <w:ind w:firstLine="480"/>
      </w:pPr>
      <w:r>
        <w:rPr/>
        <w:t>（五）评标办法；</w:t>
      </w:r>
    </w:p>
    <w:p>
      <w:pPr>
        <w:pStyle w:val="null3"/>
        <w:ind w:firstLine="480"/>
      </w:pPr>
      <w:r>
        <w:rPr/>
        <w:t>（六）投标文件格式；</w:t>
      </w:r>
    </w:p>
    <w:p>
      <w:pPr>
        <w:pStyle w:val="null3"/>
        <w:ind w:firstLine="480"/>
      </w:pPr>
      <w:r>
        <w:rPr/>
        <w:t>（七）拟签订采购合同文本。</w:t>
      </w:r>
    </w:p>
    <w:p>
      <w:pPr>
        <w:pStyle w:val="null3"/>
        <w:ind w:firstLine="480"/>
      </w:pPr>
      <w:r>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sz w:val="24"/>
          <w:b/>
        </w:rPr>
        <w:t xml:space="preserve"> 2.3.2招标文件的澄清和修改</w:t>
      </w:r>
    </w:p>
    <w:p>
      <w:pPr>
        <w:pStyle w:val="null3"/>
        <w:ind w:firstLine="480"/>
      </w:pPr>
      <w:r>
        <w:rPr/>
        <w:t>一、在投标文件提交截止时间前，采购人或者代理机构可以对已发出的招标文件进行必要的澄清或者修改。</w:t>
      </w:r>
    </w:p>
    <w:p>
      <w:pPr>
        <w:pStyle w:val="null3"/>
        <w:ind w:firstLine="480"/>
      </w:pPr>
      <w:r>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sz w:val="28"/>
          <w:b/>
        </w:rPr>
        <w:t>2.4投标文件</w:t>
      </w:r>
    </w:p>
    <w:p>
      <w:pPr>
        <w:pStyle w:val="null3"/>
        <w:outlineLvl w:val="3"/>
      </w:pPr>
      <w:r>
        <w:rPr>
          <w:sz w:val="24"/>
          <w:b/>
        </w:rPr>
        <w:t xml:space="preserve"> 2.4.1投标文件的语言</w:t>
      </w:r>
    </w:p>
    <w:p>
      <w:pPr>
        <w:pStyle w:val="null3"/>
        <w:ind w:firstLine="480"/>
      </w:pPr>
      <w:r>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三、如因未翻译而造成对投标人的不利后果，由投标人承担。</w:t>
      </w:r>
    </w:p>
    <w:p>
      <w:pPr>
        <w:pStyle w:val="null3"/>
        <w:outlineLvl w:val="3"/>
      </w:pPr>
      <w:r>
        <w:rPr>
          <w:sz w:val="24"/>
          <w:b/>
        </w:rPr>
        <w:t>2.4.2计量单位</w:t>
      </w:r>
    </w:p>
    <w:p>
      <w:pPr>
        <w:pStyle w:val="null3"/>
        <w:ind w:firstLine="480"/>
      </w:pPr>
      <w:r>
        <w:rPr/>
        <w:t>除招标文件中另有规定外，本项目均采用国家法定的计量单位。</w:t>
      </w:r>
    </w:p>
    <w:p>
      <w:pPr>
        <w:pStyle w:val="null3"/>
        <w:outlineLvl w:val="3"/>
      </w:pPr>
      <w:r>
        <w:rPr>
          <w:sz w:val="24"/>
          <w:b/>
        </w:rPr>
        <w:t>2.4.3投标货币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t>三、如采用投标人所不拥有的知识产权，则在投标报价中必须包括合法使用该知识产权的相关费用。</w:t>
      </w:r>
    </w:p>
    <w:p>
      <w:pPr>
        <w:pStyle w:val="null3"/>
        <w:outlineLvl w:val="3"/>
      </w:pPr>
      <w:r>
        <w:rPr>
          <w:sz w:val="24"/>
          <w:b/>
        </w:rPr>
        <w:t>2.4.5投标文件的组成</w:t>
      </w:r>
    </w:p>
    <w:p>
      <w:pPr>
        <w:pStyle w:val="null3"/>
        <w:ind w:firstLine="480"/>
      </w:pPr>
      <w:r>
        <w:rPr/>
        <w:t>投标人应当按照招标文件的要求编制投标文件。投标文件应当对招标文件提出的要求和条件作出明确响应。</w:t>
      </w:r>
    </w:p>
    <w:p>
      <w:pPr>
        <w:pStyle w:val="null3"/>
        <w:ind w:firstLine="480"/>
      </w:pPr>
      <w:r>
        <w:rPr/>
        <w:t>投标文件具体内容详见第六章。</w:t>
      </w:r>
    </w:p>
    <w:p>
      <w:pPr>
        <w:pStyle w:val="null3"/>
        <w:outlineLvl w:val="3"/>
      </w:pPr>
      <w:r>
        <w:rPr>
          <w:sz w:val="24"/>
          <w:b/>
        </w:rPr>
        <w:t xml:space="preserve"> 2.4.6投标文件格式</w:t>
      </w:r>
    </w:p>
    <w:p>
      <w:pPr>
        <w:pStyle w:val="null3"/>
        <w:ind w:firstLine="480"/>
      </w:pPr>
      <w:r>
        <w:rPr/>
        <w:t>一、投标人应按照招标文件第六章中提供的“投标文件格式”填写相关内容。</w:t>
      </w:r>
    </w:p>
    <w:p>
      <w:pPr>
        <w:pStyle w:val="null3"/>
        <w:ind w:firstLine="480"/>
      </w:pPr>
      <w:r>
        <w:rPr/>
        <w:t>二、对于没有格式要求的投标文件由投标人自行编写。</w:t>
      </w:r>
    </w:p>
    <w:p>
      <w:pPr>
        <w:pStyle w:val="null3"/>
        <w:outlineLvl w:val="3"/>
      </w:pPr>
      <w:r>
        <w:rPr>
          <w:sz w:val="24"/>
          <w:b/>
        </w:rPr>
        <w:t>2.4.7投标报价（实质性要求）</w:t>
      </w:r>
    </w:p>
    <w:p>
      <w:pPr>
        <w:pStyle w:val="null3"/>
        <w:ind w:firstLine="480"/>
      </w:pPr>
      <w:r>
        <w:rPr/>
        <w:t>一、投标人的报价是投标人响应招标项目要 求的全部工作内容的价格体现，包括投标人完成本项目所需的一切费用。</w:t>
      </w:r>
    </w:p>
    <w:p>
      <w:pPr>
        <w:pStyle w:val="null3"/>
        <w:ind w:firstLine="480"/>
      </w:pPr>
      <w:r>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sz w:val="24"/>
          <w:b/>
        </w:rPr>
        <w:t>2.4.8投标有效期（实质性要求）</w:t>
      </w:r>
    </w:p>
    <w:p>
      <w:pPr>
        <w:pStyle w:val="null3"/>
        <w:ind w:firstLine="480"/>
      </w:pPr>
      <w:r>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sz w:val="24"/>
          <w:b/>
        </w:rPr>
        <w:t xml:space="preserve"> 2.4.9投标文件的制作、签章和加密（实质性要求）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t xml:space="preserve"> 三、投标人完成投标文件编制后，应按照招标文件第一章明确的签章要求，使用互认的证书及签章对投标文件进行电子签章和加密。</w:t>
      </w:r>
    </w:p>
    <w:p>
      <w:pPr>
        <w:pStyle w:val="null3"/>
        <w:ind w:firstLine="480"/>
      </w:pPr>
      <w:r>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sz w:val="24"/>
          <w:b/>
        </w:rPr>
        <w:t>2.4.10投标文件的提交</w:t>
      </w:r>
    </w:p>
    <w:p>
      <w:pPr>
        <w:pStyle w:val="null3"/>
        <w:ind w:firstLine="480"/>
      </w:pPr>
      <w:r>
        <w:rPr/>
        <w:t>一、（实质性要求）投标人应当在投标文件提交截止时间前，通过项目电子化交易系统完成投标文件提交。</w:t>
      </w:r>
    </w:p>
    <w:p>
      <w:pPr>
        <w:pStyle w:val="null3"/>
        <w:ind w:firstLine="480"/>
      </w:pPr>
      <w:r>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sz w:val="24"/>
          <w:b/>
        </w:rPr>
        <w:t>2.4.11投标文件的补充、修改、撤回（实质性要求）</w:t>
      </w:r>
    </w:p>
    <w:p>
      <w:pPr>
        <w:pStyle w:val="null3"/>
        <w:ind w:firstLine="480"/>
      </w:pPr>
      <w:r>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t>供应商投标文件撤回后，视为未提交过投标文件。</w:t>
      </w:r>
    </w:p>
    <w:p>
      <w:pPr>
        <w:pStyle w:val="null3"/>
        <w:outlineLvl w:val="2"/>
      </w:pPr>
      <w:r>
        <w:rPr>
          <w:sz w:val="28"/>
          <w:b/>
        </w:rPr>
        <w:t>2.5开标、资格审查、评标和中标</w:t>
      </w:r>
    </w:p>
    <w:p>
      <w:pPr>
        <w:pStyle w:val="null3"/>
        <w:outlineLvl w:val="3"/>
      </w:pPr>
      <w:r>
        <w:rPr>
          <w:sz w:val="24"/>
          <w:b/>
        </w:rPr>
        <w:t>2.5.1开标及开标程序</w:t>
      </w:r>
    </w:p>
    <w:p>
      <w:pPr>
        <w:pStyle w:val="null3"/>
        <w:ind w:firstLine="480"/>
      </w:pPr>
      <w:r>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t>二、开标准备工作</w:t>
      </w:r>
    </w:p>
    <w:p>
      <w:pPr>
        <w:pStyle w:val="null3"/>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三、解密投标文件（实质性要求）</w:t>
      </w:r>
    </w:p>
    <w:p>
      <w:pPr>
        <w:pStyle w:val="null3"/>
        <w:ind w:firstLine="480"/>
      </w:pPr>
      <w:r>
        <w:rPr/>
        <w:t xml:space="preserve"> 投标文件提交截止时间后，成功提交投标文件的投标人符合招标文件规定数量的，代理机构将启动投标文件解密程序，解密时间为</w:t>
      </w:r>
      <w:r>
        <w:rPr/>
        <w:t>30</w:t>
      </w:r>
      <w:r>
        <w:rPr/>
        <w:t>分钟；投标人应在规定的解密时间内，使用互认的证书及签章通过项目电子化采购系统进行投标文件解密。</w:t>
      </w:r>
    </w:p>
    <w:p>
      <w:pPr>
        <w:pStyle w:val="null3"/>
        <w:ind w:firstLine="480"/>
      </w:pPr>
      <w:r>
        <w:rPr/>
        <w:t>四、开标</w:t>
      </w:r>
    </w:p>
    <w:p>
      <w:pPr>
        <w:pStyle w:val="null3"/>
        <w:ind w:firstLine="480"/>
      </w:pPr>
      <w:r>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t>投标人完成投标文件解密后，自主决定是否参加网上在线开标，未参加的，视同认可开标结果。</w:t>
      </w:r>
    </w:p>
    <w:p>
      <w:pPr>
        <w:pStyle w:val="null3"/>
        <w:outlineLvl w:val="3"/>
      </w:pPr>
      <w:r>
        <w:rPr>
          <w:sz w:val="24"/>
          <w:b/>
        </w:rPr>
        <w:t>2.5.2查询及使用信用记录</w:t>
      </w:r>
    </w:p>
    <w:p>
      <w:pPr>
        <w:pStyle w:val="null3"/>
        <w:ind w:firstLine="480"/>
      </w:pPr>
      <w:r>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详见招标文件第四章。</w:t>
      </w:r>
    </w:p>
    <w:p>
      <w:pPr>
        <w:pStyle w:val="null3"/>
        <w:outlineLvl w:val="3"/>
      </w:pPr>
      <w:r>
        <w:rPr>
          <w:sz w:val="24"/>
          <w:b/>
        </w:rPr>
        <w:t>2.5.4评标</w:t>
      </w:r>
    </w:p>
    <w:p>
      <w:pPr>
        <w:pStyle w:val="null3"/>
        <w:ind w:firstLine="480"/>
      </w:pPr>
      <w:r>
        <w:rPr/>
        <w:t>详见招标文件第五章。</w:t>
      </w:r>
    </w:p>
    <w:p>
      <w:pPr>
        <w:pStyle w:val="null3"/>
        <w:outlineLvl w:val="3"/>
      </w:pPr>
      <w:r>
        <w:rPr>
          <w:sz w:val="24"/>
          <w:b/>
        </w:rPr>
        <w:t>2.5.5中标通知书</w:t>
      </w:r>
    </w:p>
    <w:p>
      <w:pPr>
        <w:pStyle w:val="null3"/>
        <w:ind w:firstLine="480"/>
      </w:pPr>
      <w:r>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t>三、中标通知书对采购人和中标供应商均具有法律效力。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一、采购人应在中标通知书发出之日起三十日内与中标人签订采购合同。</w:t>
      </w:r>
    </w:p>
    <w:p>
      <w:pPr>
        <w:pStyle w:val="null3"/>
        <w:ind w:firstLine="480"/>
      </w:pPr>
      <w:r>
        <w:rPr/>
        <w:t>二、采购人和中标人签订的采购合同不得对招标文件确定的事项以及中标人的投标文件作实质性修改。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t>二、分包履行合同的部分应当为采购项目的非主体、非关键性工作，不属于中标人的主要合同义务。</w:t>
      </w:r>
    </w:p>
    <w:p>
      <w:pPr>
        <w:pStyle w:val="null3"/>
        <w:ind w:firstLine="480"/>
      </w:pPr>
      <w:r>
        <w:rPr/>
        <w:t>三、采购合同实行分包履行的，中标人就采购项目和分包项目向采购人负责，分包供应商就分包项目承担责任。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一、严禁中标人将本项目转包。本项目所称转包，是指将本项目转给他人或者将本项目全部肢解以后以分包的名义分别转给他人的行为。</w:t>
      </w:r>
    </w:p>
    <w:p>
      <w:pPr>
        <w:pStyle w:val="null3"/>
        <w:ind w:firstLine="480"/>
      </w:pPr>
      <w:r>
        <w:rPr/>
        <w:t>二、中标人转包的，视同拒绝履行政府采购合同，将依法追究法律责任。</w:t>
      </w:r>
    </w:p>
    <w:p>
      <w:pPr>
        <w:pStyle w:val="null3"/>
        <w:outlineLvl w:val="3"/>
      </w:pPr>
      <w:r>
        <w:rPr>
          <w:sz w:val="24"/>
          <w:b/>
        </w:rPr>
        <w:t>2.6.3采购人增加合同标的的权利</w:t>
      </w:r>
    </w:p>
    <w:p>
      <w:pPr>
        <w:pStyle w:val="null3"/>
        <w:ind w:firstLine="480"/>
      </w:pPr>
      <w:r>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sz w:val="24"/>
          <w:b/>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 xml:space="preserve"> 2.6.5履约验收方案</w:t>
      </w:r>
    </w:p>
    <w:p>
      <w:pPr>
        <w:pStyle w:val="null3"/>
      </w:pPr>
      <w:r>
        <w:rPr/>
        <w:t>采购包1：</w:t>
      </w:r>
    </w:p>
    <w:p>
      <w:pPr>
        <w:pStyle w:val="null3"/>
      </w:pPr>
      <w:r>
        <w:rPr/>
        <w:t>供应商需提供详细的验收方案和细则，并结合照招标文件、业主要求参数及实际飞行情况进行验收，同时满足国家相关规范、规定要求。</w:t>
      </w:r>
    </w:p>
    <w:p>
      <w:pPr>
        <w:pStyle w:val="null3"/>
        <w:outlineLvl w:val="3"/>
      </w:pPr>
      <w:r>
        <w:rPr>
          <w:sz w:val="24"/>
          <w:b/>
        </w:rPr>
        <w:t>2.6.6资金支付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2.7.1评标活动纪律要求</w:t>
      </w:r>
    </w:p>
    <w:p>
      <w:pPr>
        <w:pStyle w:val="null3"/>
        <w:ind w:firstLine="480"/>
      </w:pPr>
      <w:r>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t>对各投标人的商业秘密，评标委员会成员应予以保密，不得泄露给其他投标人。</w:t>
      </w:r>
    </w:p>
    <w:p>
      <w:pPr>
        <w:pStyle w:val="null3"/>
        <w:outlineLvl w:val="3"/>
      </w:pPr>
      <w:r>
        <w:rPr>
          <w:sz w:val="24"/>
          <w:b/>
        </w:rPr>
        <w:t xml:space="preserve"> 2.7.2投标人不得具有的情形（实质性要求）</w:t>
      </w:r>
    </w:p>
    <w:p>
      <w:pPr>
        <w:pStyle w:val="null3"/>
        <w:ind w:firstLine="480"/>
      </w:pPr>
      <w:r>
        <w:rPr/>
        <w:t>一、有下列情形之一的，视为投标人串通投标：</w:t>
      </w:r>
    </w:p>
    <w:p>
      <w:pPr>
        <w:pStyle w:val="null3"/>
        <w:ind w:firstLine="480"/>
      </w:pPr>
      <w:r>
        <w:rPr/>
        <w:t>（一）不同投标人的投标文件由同一单位或者个人编制；</w:t>
      </w:r>
    </w:p>
    <w:p>
      <w:pPr>
        <w:pStyle w:val="null3"/>
        <w:ind w:firstLine="480"/>
      </w:pPr>
      <w:r>
        <w:rPr/>
        <w:t>（二）不同投标人委托同一单位或者个人办理投标事宜；</w:t>
      </w:r>
    </w:p>
    <w:p>
      <w:pPr>
        <w:pStyle w:val="null3"/>
        <w:ind w:firstLine="480"/>
      </w:pPr>
      <w:r>
        <w:rPr/>
        <w:t>（三）不同投标人的投标文件载明的项目管理成员或者联系人员为同一人；</w:t>
      </w:r>
    </w:p>
    <w:p>
      <w:pPr>
        <w:pStyle w:val="null3"/>
        <w:ind w:firstLine="480"/>
      </w:pPr>
      <w:r>
        <w:rPr/>
        <w:t>（四）不同投标人的投标文件异常一致或者投标报价呈规律性差异；</w:t>
      </w:r>
    </w:p>
    <w:p>
      <w:pPr>
        <w:pStyle w:val="null3"/>
        <w:ind w:firstLine="480"/>
      </w:pPr>
      <w:r>
        <w:rPr/>
        <w:t>（五）不同投标人的投标文件相互混装。</w:t>
      </w:r>
    </w:p>
    <w:p>
      <w:pPr>
        <w:pStyle w:val="null3"/>
        <w:ind w:firstLine="480"/>
      </w:pPr>
      <w:r>
        <w:rPr/>
        <w:t>二、提供虚假材料谋取中标；</w:t>
      </w:r>
    </w:p>
    <w:p>
      <w:pPr>
        <w:pStyle w:val="null3"/>
        <w:ind w:firstLine="480"/>
      </w:pPr>
      <w:r>
        <w:rPr/>
        <w:t>三、采取不正当手段诋毁、排挤其他投标人；</w:t>
      </w:r>
    </w:p>
    <w:p>
      <w:pPr>
        <w:pStyle w:val="null3"/>
        <w:ind w:firstLine="480"/>
      </w:pPr>
      <w:r>
        <w:rPr/>
        <w:t>四、与采购人或代理机构、其他投标人恶意串通；</w:t>
      </w:r>
    </w:p>
    <w:p>
      <w:pPr>
        <w:pStyle w:val="null3"/>
        <w:ind w:firstLine="480"/>
      </w:pPr>
      <w:r>
        <w:rPr/>
        <w:t>五、向采购人或代理机构、评标委员会成员行贿或者提供其他不正当利益；</w:t>
      </w:r>
    </w:p>
    <w:p>
      <w:pPr>
        <w:pStyle w:val="null3"/>
        <w:ind w:firstLine="480"/>
      </w:pPr>
      <w:r>
        <w:rPr/>
        <w:t>六、在招标过程中与采购人或代理机构进行协商谈判；</w:t>
      </w:r>
    </w:p>
    <w:p>
      <w:pPr>
        <w:pStyle w:val="null3"/>
        <w:ind w:firstLine="480"/>
      </w:pPr>
      <w:r>
        <w:rPr/>
        <w:t>七、中标后无正当理由拒不与采购人签订政府采购合同；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投标人有上述情形的，按照规定追究法律责任，具备一至十一条情形之一的，其投标文件无效，或取消被确认为中标供应商的资格或认定中标无效。</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根据委托代理协议约定，供应商对招标文件中采购需求的询问、质疑由 </w:t>
      </w:r>
      <w:r>
        <w:rPr/>
        <w:t>永明项目管理有限公司</w:t>
      </w:r>
      <w:r>
        <w:rPr/>
        <w:t xml:space="preserve"> 负责答复；供应商对除采购需求外的采购文件的询问、质疑由</w:t>
      </w:r>
      <w:r>
        <w:rPr/>
        <w:t>永明项目管理有限公司</w:t>
      </w:r>
      <w:r>
        <w:rPr/>
        <w:t xml:space="preserve"> 负责答复；供应商对采购过程、采购结果的询问、质疑由 </w:t>
      </w:r>
      <w:r>
        <w:rPr/>
        <w:t>永明项目管理有限公司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（一）质疑书正本1份；（政府采购供应商质疑函范本详见附件一）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（五）针对质疑事项必要的证明材料（针对招标文件提出的质疑，需提交从项目电子化交易系统获取的招标文件回执单）。</w:t>
      </w:r>
    </w:p>
    <w:p>
      <w:pPr>
        <w:pStyle w:val="null3"/>
      </w:pPr>
      <w:r>
        <w:rPr/>
        <w:t>答复主体：代理机构</w:t>
      </w:r>
    </w:p>
    <w:p>
      <w:pPr>
        <w:pStyle w:val="null3"/>
      </w:pPr>
      <w:r>
        <w:rPr/>
        <w:t>联系人：杨洲</w:t>
      </w:r>
    </w:p>
    <w:p>
      <w:pPr>
        <w:pStyle w:val="null3"/>
      </w:pPr>
      <w:r>
        <w:rPr/>
        <w:t>联系电话：18392304027</w:t>
      </w:r>
    </w:p>
    <w:p>
      <w:pPr>
        <w:pStyle w:val="null3"/>
      </w:pPr>
      <w:r>
        <w:rPr/>
        <w:t>地址：陕西省西咸新区沣西新城尚业路1309号总部经济园6号楼516室</w:t>
      </w:r>
    </w:p>
    <w:p>
      <w:pPr>
        <w:pStyle w:val="null3"/>
      </w:pPr>
      <w:r>
        <w:rPr/>
        <w:t>邮编：710065</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招标项目技术、服务、商务及其他要求</w:t>
      </w:r>
    </w:p>
    <w:p>
      <w:pPr>
        <w:pStyle w:val="null3"/>
        <w:ind w:firstLine="480"/>
      </w:pPr>
      <w:r>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sz w:val="28"/>
          <w:b/>
        </w:rPr>
        <w:t>3.1采购项目概况</w:t>
      </w:r>
    </w:p>
    <w:p>
      <w:pPr>
        <w:pStyle w:val="null3"/>
        <w:ind w:firstLine="480"/>
      </w:pPr>
      <w:r>
        <w:rPr>
          <w:rFonts w:ascii="宋体" w:hAnsi="宋体" w:cs="宋体" w:eastAsia="宋体"/>
        </w:rPr>
        <w:t>在耀州区国有林场引入无人机技术，建立日常森林防火巡查系统。在耀州区国有林场选址</w:t>
      </w:r>
      <w:r>
        <w:rPr>
          <w:rFonts w:ascii="calibri" w:hAnsi="calibri" w:cs="calibri" w:eastAsia="calibri"/>
        </w:rPr>
        <w:t>10</w:t>
      </w:r>
      <w:r>
        <w:rPr>
          <w:rFonts w:ascii="宋体" w:hAnsi="宋体" w:cs="宋体" w:eastAsia="宋体"/>
        </w:rPr>
        <w:t>个管护站，部署</w:t>
      </w:r>
      <w:r>
        <w:rPr>
          <w:rFonts w:ascii="calibri" w:hAnsi="calibri" w:cs="calibri" w:eastAsia="calibri"/>
        </w:rPr>
        <w:t>10</w:t>
      </w:r>
      <w:r>
        <w:rPr>
          <w:rFonts w:ascii="宋体" w:hAnsi="宋体" w:cs="宋体" w:eastAsia="宋体"/>
        </w:rPr>
        <w:t>台无人机机场；每台无人机机场包含配套的巡查无人机，每台无人机巡查覆盖半径不低于</w:t>
      </w:r>
      <w:r>
        <w:rPr>
          <w:rFonts w:ascii="calibri" w:hAnsi="calibri" w:cs="calibri" w:eastAsia="calibri"/>
        </w:rPr>
        <w:t>4</w:t>
      </w:r>
      <w:r>
        <w:rPr>
          <w:rFonts w:ascii="宋体" w:hAnsi="宋体" w:cs="宋体" w:eastAsia="宋体"/>
        </w:rPr>
        <w:t>公里；搭建服务器和算力中心，开发配套的无人机智能森林巡查指挥系统</w:t>
      </w:r>
      <w:r>
        <w:rPr>
          <w:rFonts w:ascii="calibri" w:hAnsi="calibri" w:cs="calibri" w:eastAsia="calibri"/>
        </w:rPr>
        <w:t>1</w:t>
      </w:r>
      <w:r>
        <w:rPr>
          <w:rFonts w:ascii="宋体" w:hAnsi="宋体" w:cs="宋体" w:eastAsia="宋体"/>
        </w:rPr>
        <w:t>套。通过无人机的应用，实现对林区的常态化无人机巡查和实时监控，及时发现火情，提高森林防火的效率和准确性。</w:t>
      </w:r>
    </w:p>
    <w:p>
      <w:pPr>
        <w:pStyle w:val="null3"/>
        <w:outlineLvl w:val="2"/>
      </w:pPr>
      <w:r>
        <w:rPr>
          <w:sz w:val="28"/>
          <w:b/>
        </w:rPr>
        <w:t>3.2采购内容</w:t>
      </w:r>
    </w:p>
    <w:p>
      <w:pPr>
        <w:pStyle w:val="null3"/>
      </w:pPr>
      <w:r>
        <w:rPr/>
        <w:t>采购包1：</w:t>
      </w:r>
    </w:p>
    <w:p>
      <w:pPr>
        <w:pStyle w:val="null3"/>
      </w:pPr>
      <w:r>
        <w:rPr/>
        <w:t>采购包预算金额（元）: 1,911,676.00</w:t>
      </w:r>
    </w:p>
    <w:p>
      <w:pPr>
        <w:pStyle w:val="null3"/>
      </w:pPr>
      <w:r>
        <w:rPr/>
        <w:t>采购包最高限价（元）: 1,911,676.00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无人机设备</w:t>
            </w:r>
          </w:p>
        </w:tc>
        <w:tc>
          <w:tcPr>
            <w:tcW w:type="dxa" w:w="831"/>
          </w:tcPr>
          <w:p>
            <w:pPr>
              <w:pStyle w:val="null3"/>
              <w:jc w:val="right"/>
            </w:pPr>
            <w:r>
              <w:rPr/>
              <w:t>1.00</w:t>
            </w:r>
          </w:p>
        </w:tc>
        <w:tc>
          <w:tcPr>
            <w:tcW w:type="dxa" w:w="831"/>
          </w:tcPr>
          <w:p>
            <w:pPr>
              <w:pStyle w:val="null3"/>
              <w:jc w:val="right"/>
            </w:pPr>
            <w:r>
              <w:rPr/>
              <w:t>1,911,676.00</w:t>
            </w:r>
          </w:p>
        </w:tc>
        <w:tc>
          <w:tcPr>
            <w:tcW w:type="dxa" w:w="831"/>
          </w:tcPr>
          <w:p>
            <w:pPr>
              <w:pStyle w:val="null3"/>
            </w:pPr>
            <w:r>
              <w:rPr/>
              <w:t>批</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标的名称：无人机设备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sz w:val="27"/>
              </w:rPr>
              <w:t>技术参数</w:t>
            </w:r>
          </w:p>
          <w:tbl>
            <w:tblPr>
              <w:tblInd w:type="dxa" w:w="90"/>
              <w:tblBorders>
                <w:top w:val="none" w:color="000000" w:sz="4"/>
                <w:left w:val="none" w:color="000000" w:sz="4"/>
                <w:bottom w:val="none" w:color="000000" w:sz="4"/>
                <w:right w:val="none" w:color="000000" w:sz="4"/>
                <w:insideH w:val="none"/>
                <w:insideV w:val="none"/>
              </w:tblBorders>
            </w:tblPr>
            <w:tblGrid>
              <w:gridCol w:w="287"/>
              <w:gridCol w:w="384"/>
              <w:gridCol w:w="357"/>
              <w:gridCol w:w="1636"/>
              <w:gridCol w:w="276"/>
              <w:gridCol w:w="238"/>
            </w:tblGrid>
            <w:tr>
              <w:tc>
                <w:tcPr>
                  <w:tcW w:type="dxa" w:w="287"/>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序号</w:t>
                  </w:r>
                </w:p>
              </w:tc>
              <w:tc>
                <w:tcPr>
                  <w:tcW w:type="dxa" w:w="741"/>
                  <w:gridSpan w:val="2"/>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建设内容</w:t>
                  </w:r>
                </w:p>
              </w:tc>
              <w:tc>
                <w:tcPr>
                  <w:tcW w:type="dxa" w:w="1636"/>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color w:val="000000"/>
                    </w:rPr>
                    <w:t>产品详细性能说明</w:t>
                  </w:r>
                </w:p>
              </w:tc>
              <w:tc>
                <w:tcPr>
                  <w:tcW w:type="dxa" w:w="276"/>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单位</w:t>
                  </w:r>
                </w:p>
              </w:tc>
              <w:tc>
                <w:tcPr>
                  <w:tcW w:type="dxa" w:w="238"/>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数量</w:t>
                  </w:r>
                </w:p>
              </w:tc>
            </w:tr>
            <w:tr>
              <w:tc>
                <w:tcPr>
                  <w:tcW w:type="dxa" w:w="28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1</w:t>
                  </w:r>
                </w:p>
              </w:tc>
              <w:tc>
                <w:tcPr>
                  <w:tcW w:type="dxa" w:w="384"/>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无人机机场套装</w:t>
                  </w:r>
                </w:p>
              </w:tc>
              <w:tc>
                <w:tcPr>
                  <w:tcW w:type="dxa" w:w="35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无人机机巢</w:t>
                  </w:r>
                </w:p>
              </w:tc>
              <w:tc>
                <w:tcPr>
                  <w:tcW w:type="dxa" w:w="163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color w:val="000000"/>
                    </w:rPr>
                    <w:t>1、尺寸：</w:t>
                  </w:r>
                  <w:r>
                    <w:rPr>
                      <w:rFonts w:ascii="宋体" w:hAnsi="宋体" w:cs="宋体" w:eastAsia="宋体"/>
                      <w:sz w:val="20"/>
                      <w:color w:val="000000"/>
                    </w:rPr>
                    <w:t>≤</w:t>
                  </w:r>
                  <w:r>
                    <w:rPr>
                      <w:rFonts w:ascii="宋体" w:hAnsi="宋体" w:cs="宋体" w:eastAsia="宋体"/>
                      <w:sz w:val="20"/>
                      <w:color w:val="000000"/>
                    </w:rPr>
                    <w:t>600mmx600mmx500mm</w:t>
                  </w:r>
                </w:p>
                <w:p>
                  <w:pPr>
                    <w:pStyle w:val="null3"/>
                    <w:jc w:val="left"/>
                  </w:pPr>
                  <w:r>
                    <w:rPr>
                      <w:rFonts w:ascii="宋体" w:hAnsi="宋体" w:cs="宋体" w:eastAsia="宋体"/>
                      <w:sz w:val="20"/>
                      <w:color w:val="000000"/>
                    </w:rPr>
                    <w:t>2、</w:t>
                  </w:r>
                  <w:r>
                    <w:rPr>
                      <w:rFonts w:ascii="宋体" w:hAnsi="宋体" w:cs="宋体" w:eastAsia="宋体"/>
                      <w:sz w:val="20"/>
                      <w:color w:val="000000"/>
                    </w:rPr>
                    <w:t>重量：</w:t>
                  </w:r>
                  <w:r>
                    <w:rPr>
                      <w:rFonts w:ascii="宋体" w:hAnsi="宋体" w:cs="宋体" w:eastAsia="宋体"/>
                      <w:sz w:val="20"/>
                      <w:color w:val="000000"/>
                    </w:rPr>
                    <w:t>≤</w:t>
                  </w:r>
                  <w:r>
                    <w:rPr>
                      <w:rFonts w:ascii="宋体" w:hAnsi="宋体" w:cs="宋体" w:eastAsia="宋体"/>
                      <w:sz w:val="20"/>
                      <w:color w:val="000000"/>
                    </w:rPr>
                    <w:t>35kg（不包含飞行器）；</w:t>
                  </w:r>
                  <w:r>
                    <w:br/>
                  </w:r>
                  <w:r>
                    <w:rPr>
                      <w:rFonts w:ascii="宋体" w:hAnsi="宋体" w:cs="宋体" w:eastAsia="宋体"/>
                      <w:sz w:val="20"/>
                      <w:color w:val="000000"/>
                    </w:rPr>
                    <w:t>3</w:t>
                  </w:r>
                  <w:r>
                    <w:rPr>
                      <w:rFonts w:ascii="宋体" w:hAnsi="宋体" w:cs="宋体" w:eastAsia="宋体"/>
                      <w:sz w:val="20"/>
                      <w:color w:val="000000"/>
                    </w:rPr>
                    <w:t>、工作环境温度：不小于</w:t>
                  </w:r>
                  <w:r>
                    <w:rPr>
                      <w:rFonts w:ascii="宋体" w:hAnsi="宋体" w:cs="宋体" w:eastAsia="宋体"/>
                      <w:sz w:val="20"/>
                      <w:color w:val="000000"/>
                    </w:rPr>
                    <w:t>-20°C至45°</w:t>
                  </w:r>
                  <w:r>
                    <w:rPr>
                      <w:rFonts w:ascii="宋体" w:hAnsi="宋体" w:cs="宋体" w:eastAsia="宋体"/>
                      <w:sz w:val="20"/>
                      <w:color w:val="000000"/>
                    </w:rPr>
                    <w:t>C；</w:t>
                  </w:r>
                  <w:r>
                    <w:br/>
                  </w:r>
                  <w:r>
                    <w:rPr>
                      <w:rFonts w:ascii="宋体" w:hAnsi="宋体" w:cs="宋体" w:eastAsia="宋体"/>
                      <w:sz w:val="20"/>
                      <w:color w:val="000000"/>
                    </w:rPr>
                    <w:t>4</w:t>
                  </w:r>
                  <w:r>
                    <w:rPr>
                      <w:rFonts w:ascii="宋体" w:hAnsi="宋体" w:cs="宋体" w:eastAsia="宋体"/>
                      <w:sz w:val="20"/>
                      <w:color w:val="000000"/>
                    </w:rPr>
                    <w:t>、防护等级：</w:t>
                  </w:r>
                  <w:r>
                    <w:rPr>
                      <w:rFonts w:ascii="宋体" w:hAnsi="宋体" w:cs="宋体" w:eastAsia="宋体"/>
                      <w:sz w:val="20"/>
                      <w:color w:val="000000"/>
                    </w:rPr>
                    <w:t>≥</w:t>
                  </w:r>
                  <w:r>
                    <w:rPr>
                      <w:rFonts w:ascii="宋体" w:hAnsi="宋体" w:cs="宋体" w:eastAsia="宋体"/>
                      <w:sz w:val="20"/>
                      <w:color w:val="000000"/>
                    </w:rPr>
                    <w:t>IP5</w:t>
                  </w:r>
                  <w:r>
                    <w:rPr>
                      <w:rFonts w:ascii="宋体" w:hAnsi="宋体" w:cs="宋体" w:eastAsia="宋体"/>
                      <w:sz w:val="20"/>
                      <w:color w:val="000000"/>
                    </w:rPr>
                    <w:t>4</w:t>
                  </w:r>
                  <w:r>
                    <w:rPr>
                      <w:rFonts w:ascii="宋体" w:hAnsi="宋体" w:cs="宋体" w:eastAsia="宋体"/>
                      <w:sz w:val="20"/>
                      <w:color w:val="000000"/>
                    </w:rPr>
                    <w:t>；</w:t>
                  </w:r>
                  <w:r>
                    <w:br/>
                  </w:r>
                  <w:r>
                    <w:rPr>
                      <w:rFonts w:ascii="宋体" w:hAnsi="宋体" w:cs="宋体" w:eastAsia="宋体"/>
                      <w:sz w:val="20"/>
                      <w:color w:val="000000"/>
                    </w:rPr>
                    <w:t>5</w:t>
                  </w:r>
                  <w:r>
                    <w:rPr>
                      <w:rFonts w:ascii="宋体" w:hAnsi="宋体" w:cs="宋体" w:eastAsia="宋体"/>
                      <w:sz w:val="20"/>
                      <w:color w:val="000000"/>
                    </w:rPr>
                    <w:t>、最大抗风速度：</w:t>
                  </w:r>
                  <w:r>
                    <w:rPr>
                      <w:rFonts w:ascii="宋体" w:hAnsi="宋体" w:cs="宋体" w:eastAsia="宋体"/>
                      <w:sz w:val="20"/>
                      <w:color w:val="000000"/>
                    </w:rPr>
                    <w:t>5级正常飞行，6级确保安全</w:t>
                  </w:r>
                  <w:r>
                    <w:rPr>
                      <w:rFonts w:ascii="宋体" w:hAnsi="宋体" w:cs="宋体" w:eastAsia="宋体"/>
                      <w:sz w:val="20"/>
                      <w:color w:val="000000"/>
                    </w:rPr>
                    <w:t>；</w:t>
                  </w:r>
                  <w:r>
                    <w:br/>
                  </w:r>
                  <w:r>
                    <w:rPr>
                      <w:rFonts w:ascii="宋体" w:hAnsi="宋体" w:cs="宋体" w:eastAsia="宋体"/>
                      <w:sz w:val="20"/>
                      <w:color w:val="000000"/>
                    </w:rPr>
                    <w:t>6</w:t>
                  </w:r>
                  <w:r>
                    <w:rPr>
                      <w:rFonts w:ascii="宋体" w:hAnsi="宋体" w:cs="宋体" w:eastAsia="宋体"/>
                      <w:sz w:val="20"/>
                      <w:color w:val="000000"/>
                    </w:rPr>
                    <w:t>、最大作业半径：</w:t>
                  </w:r>
                  <w:r>
                    <w:rPr>
                      <w:rFonts w:ascii="宋体" w:hAnsi="宋体" w:cs="宋体" w:eastAsia="宋体"/>
                      <w:sz w:val="20"/>
                      <w:color w:val="000000"/>
                    </w:rPr>
                    <w:t>≥8</w:t>
                  </w:r>
                  <w:r>
                    <w:rPr>
                      <w:rFonts w:ascii="宋体" w:hAnsi="宋体" w:cs="宋体" w:eastAsia="宋体"/>
                      <w:sz w:val="20"/>
                      <w:color w:val="000000"/>
                    </w:rPr>
                    <w:t>公里；</w:t>
                  </w:r>
                  <w:r>
                    <w:br/>
                  </w:r>
                  <w:r>
                    <w:rPr>
                      <w:rFonts w:ascii="宋体" w:hAnsi="宋体" w:cs="宋体" w:eastAsia="宋体"/>
                      <w:sz w:val="20"/>
                      <w:color w:val="000000"/>
                    </w:rPr>
                    <w:t>7</w:t>
                  </w:r>
                  <w:r>
                    <w:rPr>
                      <w:rFonts w:ascii="宋体" w:hAnsi="宋体" w:cs="宋体" w:eastAsia="宋体"/>
                      <w:sz w:val="20"/>
                      <w:color w:val="000000"/>
                    </w:rPr>
                    <w:t>、最短作业间隔</w:t>
                  </w:r>
                  <w:r>
                    <w:rPr>
                      <w:rFonts w:ascii="宋体" w:hAnsi="宋体" w:cs="宋体" w:eastAsia="宋体"/>
                      <w:sz w:val="20"/>
                      <w:color w:val="000000"/>
                    </w:rPr>
                    <w:t>时间</w:t>
                  </w:r>
                  <w:r>
                    <w:rPr>
                      <w:rFonts w:ascii="宋体" w:hAnsi="宋体" w:cs="宋体" w:eastAsia="宋体"/>
                      <w:sz w:val="20"/>
                      <w:color w:val="000000"/>
                    </w:rPr>
                    <w:t>≤</w:t>
                  </w:r>
                  <w:r>
                    <w:rPr>
                      <w:rFonts w:ascii="宋体" w:hAnsi="宋体" w:cs="宋体" w:eastAsia="宋体"/>
                      <w:sz w:val="20"/>
                      <w:color w:val="000000"/>
                    </w:rPr>
                    <w:t>40分钟</w:t>
                  </w:r>
                  <w:r>
                    <w:rPr>
                      <w:rFonts w:ascii="宋体" w:hAnsi="宋体" w:cs="宋体" w:eastAsia="宋体"/>
                      <w:sz w:val="20"/>
                      <w:color w:val="000000"/>
                    </w:rPr>
                    <w:t>；</w:t>
                  </w:r>
                  <w:r>
                    <w:br/>
                  </w:r>
                  <w:r>
                    <w:rPr>
                      <w:rFonts w:ascii="宋体" w:hAnsi="宋体" w:cs="宋体" w:eastAsia="宋体"/>
                      <w:sz w:val="20"/>
                      <w:color w:val="000000"/>
                    </w:rPr>
                    <w:t>8</w:t>
                  </w:r>
                  <w:r>
                    <w:rPr>
                      <w:rFonts w:ascii="宋体" w:hAnsi="宋体" w:cs="宋体" w:eastAsia="宋体"/>
                      <w:sz w:val="20"/>
                      <w:color w:val="000000"/>
                    </w:rPr>
                    <w:t>、内置空调系统；</w:t>
                  </w:r>
                  <w:r>
                    <w:br/>
                  </w:r>
                  <w:r>
                    <w:rPr>
                      <w:rFonts w:ascii="宋体" w:hAnsi="宋体" w:cs="宋体" w:eastAsia="宋体"/>
                      <w:sz w:val="20"/>
                      <w:color w:val="000000"/>
                    </w:rPr>
                    <w:t>9</w:t>
                  </w:r>
                  <w:r>
                    <w:rPr>
                      <w:rFonts w:ascii="宋体" w:hAnsi="宋体" w:cs="宋体" w:eastAsia="宋体"/>
                      <w:sz w:val="20"/>
                      <w:color w:val="000000"/>
                    </w:rPr>
                    <w:t>、内置</w:t>
                  </w:r>
                  <w:r>
                    <w:rPr>
                      <w:rFonts w:ascii="宋体" w:hAnsi="宋体" w:cs="宋体" w:eastAsia="宋体"/>
                      <w:sz w:val="20"/>
                      <w:color w:val="000000"/>
                    </w:rPr>
                    <w:t>UPS</w:t>
                  </w:r>
                  <w:r>
                    <w:rPr>
                      <w:rFonts w:ascii="宋体" w:hAnsi="宋体" w:cs="宋体" w:eastAsia="宋体"/>
                      <w:sz w:val="20"/>
                      <w:color w:val="000000"/>
                    </w:rPr>
                    <w:t>，续航时间</w:t>
                  </w:r>
                  <w:r>
                    <w:rPr>
                      <w:rFonts w:ascii="宋体" w:hAnsi="宋体" w:cs="宋体" w:eastAsia="宋体"/>
                      <w:sz w:val="20"/>
                      <w:color w:val="000000"/>
                    </w:rPr>
                    <w:t>≥</w:t>
                  </w:r>
                  <w:r>
                    <w:rPr>
                      <w:rFonts w:ascii="宋体" w:hAnsi="宋体" w:cs="宋体" w:eastAsia="宋体"/>
                      <w:sz w:val="20"/>
                      <w:color w:val="000000"/>
                    </w:rPr>
                    <w:t>5小时；</w:t>
                  </w:r>
                  <w:r>
                    <w:br/>
                  </w:r>
                  <w:r>
                    <w:rPr>
                      <w:rFonts w:ascii="宋体" w:hAnsi="宋体" w:cs="宋体" w:eastAsia="宋体"/>
                      <w:sz w:val="20"/>
                      <w:color w:val="000000"/>
                    </w:rPr>
                    <w:t>10</w:t>
                  </w:r>
                  <w:r>
                    <w:rPr>
                      <w:rFonts w:ascii="宋体" w:hAnsi="宋体" w:cs="宋体" w:eastAsia="宋体"/>
                      <w:sz w:val="20"/>
                      <w:color w:val="000000"/>
                    </w:rPr>
                    <w:t>、支持</w:t>
                  </w:r>
                  <w:r>
                    <w:rPr>
                      <w:rFonts w:ascii="宋体" w:hAnsi="宋体" w:cs="宋体" w:eastAsia="宋体"/>
                      <w:sz w:val="20"/>
                      <w:color w:val="000000"/>
                    </w:rPr>
                    <w:t>4G网络接入；</w:t>
                  </w:r>
                  <w:r>
                    <w:br/>
                  </w:r>
                  <w:r>
                    <w:rPr>
                      <w:rFonts w:ascii="宋体" w:hAnsi="宋体" w:cs="宋体" w:eastAsia="宋体"/>
                      <w:sz w:val="20"/>
                      <w:color w:val="000000"/>
                    </w:rPr>
                    <w:t>1</w:t>
                  </w:r>
                  <w:r>
                    <w:rPr>
                      <w:rFonts w:ascii="宋体" w:hAnsi="宋体" w:cs="宋体" w:eastAsia="宋体"/>
                      <w:sz w:val="20"/>
                      <w:color w:val="000000"/>
                    </w:rPr>
                    <w:t>1</w:t>
                  </w:r>
                  <w:r>
                    <w:rPr>
                      <w:rFonts w:ascii="宋体" w:hAnsi="宋体" w:cs="宋体" w:eastAsia="宋体"/>
                      <w:sz w:val="20"/>
                      <w:color w:val="000000"/>
                    </w:rPr>
                    <w:t>、内置风速、雨量、温度、湿度、水浸等传感器；</w:t>
                  </w:r>
                  <w:r>
                    <w:br/>
                  </w:r>
                  <w:r>
                    <w:rPr>
                      <w:rFonts w:ascii="宋体" w:hAnsi="宋体" w:cs="宋体" w:eastAsia="宋体"/>
                      <w:sz w:val="20"/>
                      <w:color w:val="000000"/>
                    </w:rPr>
                    <w:t>1</w:t>
                  </w:r>
                  <w:r>
                    <w:rPr>
                      <w:rFonts w:ascii="宋体" w:hAnsi="宋体" w:cs="宋体" w:eastAsia="宋体"/>
                      <w:sz w:val="20"/>
                      <w:color w:val="000000"/>
                    </w:rPr>
                    <w:t>2</w:t>
                  </w:r>
                  <w:r>
                    <w:rPr>
                      <w:rFonts w:ascii="宋体" w:hAnsi="宋体" w:cs="宋体" w:eastAsia="宋体"/>
                      <w:sz w:val="20"/>
                      <w:color w:val="000000"/>
                    </w:rPr>
                    <w:t>、支持</w:t>
                  </w:r>
                  <w:r>
                    <w:rPr>
                      <w:rFonts w:ascii="宋体" w:hAnsi="宋体" w:cs="宋体" w:eastAsia="宋体"/>
                      <w:sz w:val="20"/>
                      <w:color w:val="000000"/>
                    </w:rPr>
                    <w:t>昼夜监控舱内和舱外情况</w:t>
                  </w:r>
                  <w:r>
                    <w:rPr>
                      <w:rFonts w:ascii="宋体" w:hAnsi="宋体" w:cs="宋体" w:eastAsia="宋体"/>
                      <w:sz w:val="20"/>
                      <w:color w:val="000000"/>
                    </w:rPr>
                    <w:t>；</w:t>
                  </w:r>
                  <w:r>
                    <w:br/>
                  </w:r>
                  <w:r>
                    <w:rPr>
                      <w:rFonts w:ascii="宋体" w:hAnsi="宋体" w:cs="宋体" w:eastAsia="宋体"/>
                      <w:sz w:val="20"/>
                      <w:color w:val="000000"/>
                    </w:rPr>
                    <w:t>1</w:t>
                  </w:r>
                  <w:r>
                    <w:rPr>
                      <w:rFonts w:ascii="宋体" w:hAnsi="宋体" w:cs="宋体" w:eastAsia="宋体"/>
                      <w:sz w:val="20"/>
                      <w:color w:val="000000"/>
                    </w:rPr>
                    <w:t>3</w:t>
                  </w:r>
                  <w:r>
                    <w:rPr>
                      <w:rFonts w:ascii="宋体" w:hAnsi="宋体" w:cs="宋体" w:eastAsia="宋体"/>
                      <w:sz w:val="20"/>
                      <w:color w:val="000000"/>
                    </w:rPr>
                    <w:t>、</w:t>
                  </w:r>
                  <w:r>
                    <w:rPr>
                      <w:rFonts w:ascii="宋体" w:hAnsi="宋体" w:cs="宋体" w:eastAsia="宋体"/>
                      <w:sz w:val="20"/>
                      <w:color w:val="000000"/>
                    </w:rPr>
                    <w:t>设备供电口和以太网口具备防雷能力；</w:t>
                  </w:r>
                  <w:r>
                    <w:br/>
                  </w:r>
                  <w:r>
                    <w:rPr>
                      <w:rFonts w:ascii="宋体" w:hAnsi="宋体" w:cs="宋体" w:eastAsia="宋体"/>
                      <w:sz w:val="20"/>
                      <w:color w:val="000000"/>
                    </w:rPr>
                    <w:t>14</w:t>
                  </w:r>
                  <w:r>
                    <w:rPr>
                      <w:rFonts w:ascii="宋体" w:hAnsi="宋体" w:cs="宋体" w:eastAsia="宋体"/>
                      <w:sz w:val="20"/>
                      <w:color w:val="000000"/>
                    </w:rPr>
                    <w:t>、支持二次开发；</w:t>
                  </w:r>
                  <w:r>
                    <w:br/>
                  </w:r>
                  <w:r>
                    <w:rPr>
                      <w:rFonts w:ascii="宋体" w:hAnsi="宋体" w:cs="宋体" w:eastAsia="宋体"/>
                      <w:sz w:val="20"/>
                      <w:color w:val="000000"/>
                    </w:rPr>
                    <w:t>15</w:t>
                  </w:r>
                  <w:r>
                    <w:rPr>
                      <w:rFonts w:ascii="宋体" w:hAnsi="宋体" w:cs="宋体" w:eastAsia="宋体"/>
                      <w:sz w:val="20"/>
                      <w:color w:val="000000"/>
                    </w:rPr>
                    <w:t>、起飞</w:t>
                  </w:r>
                  <w:r>
                    <w:rPr>
                      <w:rFonts w:ascii="宋体" w:hAnsi="宋体" w:cs="宋体" w:eastAsia="宋体"/>
                      <w:sz w:val="20"/>
                      <w:color w:val="000000"/>
                    </w:rPr>
                    <w:t>准备时间</w:t>
                  </w:r>
                  <w:r>
                    <w:rPr>
                      <w:rFonts w:ascii="宋体" w:hAnsi="宋体" w:cs="宋体" w:eastAsia="宋体"/>
                      <w:sz w:val="20"/>
                      <w:color w:val="000000"/>
                    </w:rPr>
                    <w:t>≤1.5min；</w:t>
                  </w:r>
                  <w:r>
                    <w:br/>
                  </w:r>
                  <w:r>
                    <w:rPr>
                      <w:rFonts w:ascii="宋体" w:hAnsi="宋体" w:cs="宋体" w:eastAsia="宋体"/>
                      <w:sz w:val="20"/>
                      <w:color w:val="000000"/>
                    </w:rPr>
                    <w:t>16</w:t>
                  </w:r>
                  <w:r>
                    <w:rPr>
                      <w:rFonts w:ascii="宋体" w:hAnsi="宋体" w:cs="宋体" w:eastAsia="宋体"/>
                      <w:sz w:val="20"/>
                      <w:color w:val="000000"/>
                    </w:rPr>
                    <w:t>、</w:t>
                  </w:r>
                  <w:r>
                    <w:rPr>
                      <w:rFonts w:ascii="宋体" w:hAnsi="宋体" w:cs="宋体" w:eastAsia="宋体"/>
                      <w:sz w:val="20"/>
                      <w:color w:val="000000"/>
                    </w:rPr>
                    <w:t>支持外接设备实现数据交互与传输</w:t>
                  </w:r>
                  <w:r>
                    <w:rPr>
                      <w:rFonts w:ascii="宋体" w:hAnsi="宋体" w:cs="宋体" w:eastAsia="宋体"/>
                      <w:sz w:val="20"/>
                      <w:color w:val="000000"/>
                    </w:rPr>
                    <w:t>。</w:t>
                  </w:r>
                </w:p>
              </w:tc>
              <w:tc>
                <w:tcPr>
                  <w:tcW w:type="dxa" w:w="2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套</w:t>
                  </w:r>
                </w:p>
              </w:tc>
              <w:tc>
                <w:tcPr>
                  <w:tcW w:type="dxa" w:w="238"/>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10</w:t>
                  </w:r>
                </w:p>
              </w:tc>
            </w:tr>
            <w:tr>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2</w:t>
                  </w:r>
                </w:p>
              </w:tc>
              <w:tc>
                <w:tcPr>
                  <w:tcW w:type="dxa" w:w="384"/>
                  <w:vMerge/>
                  <w:tcBorders>
                    <w:top w:val="none" w:color="000000" w:sz="4"/>
                    <w:left w:val="single" w:color="000000" w:sz="4"/>
                    <w:bottom w:val="single" w:color="000000" w:sz="4"/>
                    <w:right w:val="single" w:color="000000" w:sz="4"/>
                  </w:tcBorders>
                </w:tcPr>
                <w:p/>
              </w:tc>
              <w:tc>
                <w:tcPr>
                  <w:tcW w:type="dxa" w:w="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配套飞行器</w:t>
                  </w:r>
                </w:p>
              </w:tc>
              <w:tc>
                <w:tcPr>
                  <w:tcW w:type="dxa" w:w="16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1、</w:t>
                  </w:r>
                  <w:r>
                    <w:rPr>
                      <w:rFonts w:ascii="宋体" w:hAnsi="宋体" w:cs="宋体" w:eastAsia="宋体"/>
                      <w:sz w:val="20"/>
                      <w:color w:val="000000"/>
                    </w:rPr>
                    <w:t>挂载</w:t>
                  </w:r>
                  <w:r>
                    <w:rPr>
                      <w:rFonts w:ascii="宋体" w:hAnsi="宋体" w:cs="宋体" w:eastAsia="宋体"/>
                      <w:sz w:val="20"/>
                      <w:color w:val="000000"/>
                    </w:rPr>
                    <w:t>能力</w:t>
                  </w:r>
                  <w:r>
                    <w:rPr>
                      <w:rFonts w:ascii="宋体" w:hAnsi="宋体" w:cs="宋体" w:eastAsia="宋体"/>
                      <w:sz w:val="20"/>
                      <w:color w:val="000000"/>
                    </w:rPr>
                    <w:t>≥0.15kg</w:t>
                  </w:r>
                  <w:r>
                    <w:rPr>
                      <w:rFonts w:ascii="宋体" w:hAnsi="宋体" w:cs="宋体" w:eastAsia="宋体"/>
                      <w:sz w:val="20"/>
                      <w:color w:val="000000"/>
                    </w:rPr>
                    <w:t>；</w:t>
                  </w:r>
                  <w:r>
                    <w:br/>
                  </w:r>
                  <w:r>
                    <w:rPr>
                      <w:rFonts w:ascii="宋体" w:hAnsi="宋体" w:cs="宋体" w:eastAsia="宋体"/>
                      <w:sz w:val="20"/>
                      <w:color w:val="000000"/>
                    </w:rPr>
                    <w:t>2、飞行器IP防护等级：≥IP53；</w:t>
                  </w:r>
                </w:p>
                <w:p>
                  <w:pPr>
                    <w:pStyle w:val="null3"/>
                    <w:jc w:val="left"/>
                  </w:pPr>
                  <w:r>
                    <w:rPr>
                      <w:rFonts w:ascii="宋体" w:hAnsi="宋体" w:cs="宋体" w:eastAsia="宋体"/>
                      <w:sz w:val="20"/>
                      <w:color w:val="000000"/>
                    </w:rPr>
                    <w:t>2、飞行器轴距：＜500mm；</w:t>
                  </w:r>
                  <w:r>
                    <w:br/>
                  </w:r>
                  <w:r>
                    <w:rPr>
                      <w:rFonts w:ascii="宋体" w:hAnsi="宋体" w:cs="宋体" w:eastAsia="宋体"/>
                      <w:sz w:val="20"/>
                      <w:color w:val="000000"/>
                    </w:rPr>
                    <w:t>3、飞行器最大水平飞行速度：</w:t>
                  </w:r>
                  <w:r>
                    <w:rPr>
                      <w:rFonts w:ascii="宋体" w:hAnsi="宋体" w:cs="宋体" w:eastAsia="宋体"/>
                      <w:sz w:val="20"/>
                      <w:color w:val="000000"/>
                    </w:rPr>
                    <w:t>不低于</w:t>
                  </w:r>
                  <w:r>
                    <w:rPr>
                      <w:rFonts w:ascii="宋体" w:hAnsi="宋体" w:cs="宋体" w:eastAsia="宋体"/>
                      <w:sz w:val="20"/>
                      <w:color w:val="000000"/>
                    </w:rPr>
                    <w:t>20</w:t>
                  </w:r>
                  <w:r>
                    <w:rPr>
                      <w:rFonts w:ascii="宋体" w:hAnsi="宋体" w:cs="宋体" w:eastAsia="宋体"/>
                      <w:sz w:val="20"/>
                      <w:color w:val="000000"/>
                    </w:rPr>
                    <w:t>m</w:t>
                  </w:r>
                  <w:r>
                    <w:rPr>
                      <w:rFonts w:ascii="宋体" w:hAnsi="宋体" w:cs="宋体" w:eastAsia="宋体"/>
                      <w:sz w:val="20"/>
                      <w:color w:val="000000"/>
                    </w:rPr>
                    <w:t>/秒；</w:t>
                  </w:r>
                  <w:r>
                    <w:br/>
                  </w:r>
                  <w:r>
                    <w:rPr>
                      <w:rFonts w:ascii="宋体" w:hAnsi="宋体" w:cs="宋体" w:eastAsia="宋体"/>
                      <w:sz w:val="20"/>
                      <w:color w:val="000000"/>
                    </w:rPr>
                    <w:t>4</w:t>
                  </w:r>
                  <w:r>
                    <w:rPr>
                      <w:rFonts w:ascii="宋体" w:hAnsi="宋体" w:cs="宋体" w:eastAsia="宋体"/>
                      <w:sz w:val="20"/>
                      <w:color w:val="000000"/>
                    </w:rPr>
                    <w:t>、飞行器</w:t>
                  </w:r>
                  <w:r>
                    <w:rPr>
                      <w:rFonts w:ascii="宋体" w:hAnsi="宋体" w:cs="宋体" w:eastAsia="宋体"/>
                      <w:sz w:val="20"/>
                      <w:color w:val="000000"/>
                    </w:rPr>
                    <w:t>巡航</w:t>
                  </w:r>
                  <w:r>
                    <w:rPr>
                      <w:rFonts w:ascii="宋体" w:hAnsi="宋体" w:cs="宋体" w:eastAsia="宋体"/>
                      <w:sz w:val="20"/>
                      <w:color w:val="000000"/>
                    </w:rPr>
                    <w:t>时间：</w:t>
                  </w:r>
                  <w:r>
                    <w:rPr>
                      <w:rFonts w:ascii="宋体" w:hAnsi="宋体" w:cs="宋体" w:eastAsia="宋体"/>
                      <w:sz w:val="20"/>
                      <w:color w:val="000000"/>
                    </w:rPr>
                    <w:t>≥</w:t>
                  </w:r>
                  <w:r>
                    <w:rPr>
                      <w:rFonts w:ascii="宋体" w:hAnsi="宋体" w:cs="宋体" w:eastAsia="宋体"/>
                      <w:sz w:val="20"/>
                      <w:color w:val="000000"/>
                    </w:rPr>
                    <w:t>45</w:t>
                  </w:r>
                  <w:r>
                    <w:rPr>
                      <w:rFonts w:ascii="宋体" w:hAnsi="宋体" w:cs="宋体" w:eastAsia="宋体"/>
                      <w:sz w:val="20"/>
                      <w:color w:val="000000"/>
                    </w:rPr>
                    <w:t>分钟；</w:t>
                  </w:r>
                  <w:r>
                    <w:br/>
                  </w:r>
                  <w:r>
                    <w:rPr>
                      <w:rFonts w:ascii="宋体" w:hAnsi="宋体" w:cs="宋体" w:eastAsia="宋体"/>
                      <w:sz w:val="20"/>
                      <w:color w:val="000000"/>
                    </w:rPr>
                    <w:t>5</w:t>
                  </w:r>
                  <w:r>
                    <w:rPr>
                      <w:rFonts w:ascii="宋体" w:hAnsi="宋体" w:cs="宋体" w:eastAsia="宋体"/>
                      <w:sz w:val="20"/>
                      <w:color w:val="000000"/>
                    </w:rPr>
                    <w:t>、飞行器定位悬停精度：水平</w:t>
                  </w:r>
                  <w:r>
                    <w:rPr>
                      <w:rFonts w:ascii="宋体" w:hAnsi="宋体" w:cs="宋体" w:eastAsia="宋体"/>
                      <w:sz w:val="20"/>
                      <w:color w:val="000000"/>
                    </w:rPr>
                    <w:t>≤±0.</w:t>
                  </w:r>
                  <w:r>
                    <w:rPr>
                      <w:rFonts w:ascii="宋体" w:hAnsi="宋体" w:cs="宋体" w:eastAsia="宋体"/>
                      <w:sz w:val="20"/>
                      <w:color w:val="000000"/>
                    </w:rPr>
                    <w:t>2</w:t>
                  </w:r>
                  <w:r>
                    <w:rPr>
                      <w:rFonts w:ascii="宋体" w:hAnsi="宋体" w:cs="宋体" w:eastAsia="宋体"/>
                      <w:sz w:val="20"/>
                      <w:color w:val="000000"/>
                    </w:rPr>
                    <w:t>m，垂直≤±0.</w:t>
                  </w:r>
                  <w:r>
                    <w:rPr>
                      <w:rFonts w:ascii="宋体" w:hAnsi="宋体" w:cs="宋体" w:eastAsia="宋体"/>
                      <w:sz w:val="20"/>
                      <w:color w:val="000000"/>
                    </w:rPr>
                    <w:t>2</w:t>
                  </w:r>
                  <w:r>
                    <w:rPr>
                      <w:rFonts w:ascii="宋体" w:hAnsi="宋体" w:cs="宋体" w:eastAsia="宋体"/>
                      <w:sz w:val="20"/>
                      <w:color w:val="000000"/>
                    </w:rPr>
                    <w:t>m；</w:t>
                  </w:r>
                  <w:r>
                    <w:br/>
                  </w:r>
                  <w:r>
                    <w:rPr>
                      <w:rFonts w:ascii="宋体" w:hAnsi="宋体" w:cs="宋体" w:eastAsia="宋体"/>
                      <w:sz w:val="20"/>
                      <w:color w:val="000000"/>
                    </w:rPr>
                    <w:t>6</w:t>
                  </w:r>
                  <w:r>
                    <w:rPr>
                      <w:rFonts w:ascii="宋体" w:hAnsi="宋体" w:cs="宋体" w:eastAsia="宋体"/>
                      <w:sz w:val="20"/>
                      <w:color w:val="000000"/>
                    </w:rPr>
                    <w:t>、飞行器</w:t>
                  </w:r>
                  <w:r>
                    <w:rPr>
                      <w:rFonts w:ascii="宋体" w:hAnsi="宋体" w:cs="宋体" w:eastAsia="宋体"/>
                      <w:sz w:val="20"/>
                      <w:color w:val="000000"/>
                    </w:rPr>
                    <w:t>具备</w:t>
                  </w:r>
                  <w:r>
                    <w:rPr>
                      <w:rFonts w:ascii="宋体" w:hAnsi="宋体" w:cs="宋体" w:eastAsia="宋体"/>
                      <w:sz w:val="20"/>
                      <w:color w:val="000000"/>
                    </w:rPr>
                    <w:t>夜航灯</w:t>
                  </w:r>
                  <w:r>
                    <w:rPr>
                      <w:rFonts w:ascii="宋体" w:hAnsi="宋体" w:cs="宋体" w:eastAsia="宋体"/>
                      <w:sz w:val="20"/>
                      <w:color w:val="000000"/>
                    </w:rPr>
                    <w:t>，</w:t>
                  </w:r>
                  <w:r>
                    <w:rPr>
                      <w:rFonts w:ascii="宋体" w:hAnsi="宋体" w:cs="宋体" w:eastAsia="宋体"/>
                      <w:sz w:val="20"/>
                      <w:color w:val="000000"/>
                    </w:rPr>
                    <w:t>支持全向</w:t>
                  </w:r>
                  <w:r>
                    <w:rPr>
                      <w:rFonts w:ascii="宋体" w:hAnsi="宋体" w:cs="宋体" w:eastAsia="宋体"/>
                      <w:sz w:val="20"/>
                      <w:color w:val="000000"/>
                    </w:rPr>
                    <w:t>避障；</w:t>
                  </w:r>
                  <w:r>
                    <w:br/>
                  </w:r>
                  <w:r>
                    <w:rPr>
                      <w:rFonts w:ascii="宋体" w:hAnsi="宋体" w:cs="宋体" w:eastAsia="宋体"/>
                      <w:sz w:val="20"/>
                      <w:color w:val="000000"/>
                    </w:rPr>
                    <w:t>7</w:t>
                  </w:r>
                  <w:r>
                    <w:rPr>
                      <w:rFonts w:ascii="宋体" w:hAnsi="宋体" w:cs="宋体" w:eastAsia="宋体"/>
                      <w:sz w:val="20"/>
                      <w:color w:val="000000"/>
                    </w:rPr>
                    <w:t>、飞行器支持</w:t>
                  </w:r>
                  <w:r>
                    <w:rPr>
                      <w:rFonts w:ascii="宋体" w:hAnsi="宋体" w:cs="宋体" w:eastAsia="宋体"/>
                      <w:sz w:val="20"/>
                      <w:color w:val="000000"/>
                    </w:rPr>
                    <w:t>4G图传；</w:t>
                  </w:r>
                  <w:r>
                    <w:br/>
                  </w:r>
                  <w:r>
                    <w:rPr>
                      <w:rFonts w:ascii="宋体" w:hAnsi="宋体" w:cs="宋体" w:eastAsia="宋体"/>
                      <w:sz w:val="20"/>
                      <w:color w:val="000000"/>
                    </w:rPr>
                    <w:t>8</w:t>
                  </w:r>
                  <w:r>
                    <w:rPr>
                      <w:rFonts w:ascii="宋体" w:hAnsi="宋体" w:cs="宋体" w:eastAsia="宋体"/>
                      <w:sz w:val="20"/>
                      <w:color w:val="000000"/>
                    </w:rPr>
                    <w:t>、飞行器相机</w:t>
                  </w:r>
                  <w:r>
                    <w:rPr>
                      <w:rFonts w:ascii="宋体" w:hAnsi="宋体" w:cs="宋体" w:eastAsia="宋体"/>
                      <w:sz w:val="20"/>
                      <w:color w:val="000000"/>
                    </w:rPr>
                    <w:t>支持</w:t>
                  </w:r>
                  <w:r>
                    <w:rPr>
                      <w:rFonts w:ascii="宋体" w:hAnsi="宋体" w:cs="宋体" w:eastAsia="宋体"/>
                      <w:sz w:val="20"/>
                      <w:color w:val="000000"/>
                    </w:rPr>
                    <w:t>长焦可见光、广角可见光和红外热成像；</w:t>
                  </w:r>
                  <w:r>
                    <w:br/>
                  </w:r>
                  <w:r>
                    <w:rPr>
                      <w:rFonts w:ascii="宋体" w:hAnsi="宋体" w:cs="宋体" w:eastAsia="宋体"/>
                      <w:sz w:val="20"/>
                      <w:color w:val="000000"/>
                    </w:rPr>
                    <w:t>9</w:t>
                  </w:r>
                  <w:r>
                    <w:rPr>
                      <w:rFonts w:ascii="宋体" w:hAnsi="宋体" w:cs="宋体" w:eastAsia="宋体"/>
                      <w:sz w:val="20"/>
                      <w:color w:val="000000"/>
                    </w:rPr>
                    <w:t>、</w:t>
                  </w:r>
                  <w:r>
                    <w:rPr>
                      <w:rFonts w:ascii="宋体" w:hAnsi="宋体" w:cs="宋体" w:eastAsia="宋体"/>
                      <w:sz w:val="20"/>
                      <w:color w:val="000000"/>
                    </w:rPr>
                    <w:t>广角相机</w:t>
                  </w:r>
                  <w:r>
                    <w:rPr>
                      <w:rFonts w:ascii="宋体" w:hAnsi="宋体" w:cs="宋体" w:eastAsia="宋体"/>
                      <w:sz w:val="20"/>
                      <w:color w:val="000000"/>
                    </w:rPr>
                    <w:t>像素不低于</w:t>
                  </w:r>
                  <w:r>
                    <w:rPr>
                      <w:rFonts w:ascii="宋体" w:hAnsi="宋体" w:cs="宋体" w:eastAsia="宋体"/>
                      <w:sz w:val="20"/>
                      <w:color w:val="000000"/>
                    </w:rPr>
                    <w:t>4800万；</w:t>
                  </w:r>
                  <w:r>
                    <w:br/>
                  </w:r>
                  <w:r>
                    <w:rPr>
                      <w:rFonts w:ascii="宋体" w:hAnsi="宋体" w:cs="宋体" w:eastAsia="宋体"/>
                      <w:sz w:val="20"/>
                      <w:color w:val="000000"/>
                    </w:rPr>
                    <w:t>1</w:t>
                  </w:r>
                  <w:r>
                    <w:rPr>
                      <w:rFonts w:ascii="宋体" w:hAnsi="宋体" w:cs="宋体" w:eastAsia="宋体"/>
                      <w:sz w:val="20"/>
                      <w:color w:val="000000"/>
                    </w:rPr>
                    <w:t>0</w:t>
                  </w:r>
                  <w:r>
                    <w:rPr>
                      <w:rFonts w:ascii="宋体" w:hAnsi="宋体" w:cs="宋体" w:eastAsia="宋体"/>
                      <w:sz w:val="20"/>
                      <w:color w:val="000000"/>
                    </w:rPr>
                    <w:t>、长焦相机像素不低于</w:t>
                  </w:r>
                  <w:r>
                    <w:rPr>
                      <w:rFonts w:ascii="宋体" w:hAnsi="宋体" w:cs="宋体" w:eastAsia="宋体"/>
                      <w:sz w:val="20"/>
                      <w:color w:val="000000"/>
                    </w:rPr>
                    <w:t>1200万；</w:t>
                  </w:r>
                  <w:r>
                    <w:br/>
                  </w:r>
                  <w:r>
                    <w:rPr>
                      <w:rFonts w:ascii="宋体" w:hAnsi="宋体" w:cs="宋体" w:eastAsia="宋体"/>
                      <w:sz w:val="20"/>
                      <w:color w:val="000000"/>
                    </w:rPr>
                    <w:t>1</w:t>
                  </w:r>
                  <w:r>
                    <w:rPr>
                      <w:rFonts w:ascii="宋体" w:hAnsi="宋体" w:cs="宋体" w:eastAsia="宋体"/>
                      <w:sz w:val="20"/>
                      <w:color w:val="000000"/>
                    </w:rPr>
                    <w:t>1</w:t>
                  </w:r>
                  <w:r>
                    <w:rPr>
                      <w:rFonts w:ascii="宋体" w:hAnsi="宋体" w:cs="宋体" w:eastAsia="宋体"/>
                      <w:sz w:val="20"/>
                      <w:color w:val="000000"/>
                    </w:rPr>
                    <w:t>、长焦相机</w:t>
                  </w:r>
                  <w:r>
                    <w:rPr>
                      <w:rFonts w:ascii="宋体" w:hAnsi="宋体" w:cs="宋体" w:eastAsia="宋体"/>
                      <w:sz w:val="20"/>
                      <w:color w:val="000000"/>
                    </w:rPr>
                    <w:t>等效</w:t>
                  </w:r>
                  <w:r>
                    <w:rPr>
                      <w:rFonts w:ascii="宋体" w:hAnsi="宋体" w:cs="宋体" w:eastAsia="宋体"/>
                      <w:sz w:val="20"/>
                      <w:color w:val="000000"/>
                    </w:rPr>
                    <w:t>焦距</w:t>
                  </w:r>
                  <w:r>
                    <w:rPr>
                      <w:rFonts w:ascii="宋体" w:hAnsi="宋体" w:cs="宋体" w:eastAsia="宋体"/>
                      <w:sz w:val="20"/>
                      <w:color w:val="000000"/>
                    </w:rPr>
                    <w:t>≥</w:t>
                  </w:r>
                  <w:r>
                    <w:rPr>
                      <w:rFonts w:ascii="宋体" w:hAnsi="宋体" w:cs="宋体" w:eastAsia="宋体"/>
                      <w:sz w:val="20"/>
                      <w:color w:val="000000"/>
                    </w:rPr>
                    <w:t>160mm</w:t>
                  </w:r>
                  <w:r>
                    <w:rPr>
                      <w:rFonts w:ascii="宋体" w:hAnsi="宋体" w:cs="宋体" w:eastAsia="宋体"/>
                      <w:sz w:val="20"/>
                      <w:color w:val="000000"/>
                    </w:rPr>
                    <w:t>；</w:t>
                  </w:r>
                  <w:r>
                    <w:br/>
                  </w:r>
                  <w:r>
                    <w:rPr>
                      <w:rFonts w:ascii="宋体" w:hAnsi="宋体" w:cs="宋体" w:eastAsia="宋体"/>
                      <w:sz w:val="20"/>
                      <w:color w:val="000000"/>
                    </w:rPr>
                    <w:t>1</w:t>
                  </w:r>
                  <w:r>
                    <w:rPr>
                      <w:rFonts w:ascii="宋体" w:hAnsi="宋体" w:cs="宋体" w:eastAsia="宋体"/>
                      <w:sz w:val="20"/>
                      <w:color w:val="000000"/>
                    </w:rPr>
                    <w:t>2</w:t>
                  </w:r>
                  <w:r>
                    <w:rPr>
                      <w:rFonts w:ascii="宋体" w:hAnsi="宋体" w:cs="宋体" w:eastAsia="宋体"/>
                      <w:sz w:val="20"/>
                      <w:color w:val="000000"/>
                    </w:rPr>
                    <w:t>、红外传感器分辨率：</w:t>
                  </w:r>
                  <w:r>
                    <w:rPr>
                      <w:rFonts w:ascii="宋体" w:hAnsi="宋体" w:cs="宋体" w:eastAsia="宋体"/>
                      <w:sz w:val="20"/>
                      <w:color w:val="000000"/>
                    </w:rPr>
                    <w:t>≥</w:t>
                  </w:r>
                  <w:r>
                    <w:rPr>
                      <w:rFonts w:ascii="宋体" w:hAnsi="宋体" w:cs="宋体" w:eastAsia="宋体"/>
                      <w:sz w:val="20"/>
                      <w:color w:val="000000"/>
                    </w:rPr>
                    <w:t>640*512</w:t>
                  </w:r>
                  <w:r>
                    <w:rPr>
                      <w:rFonts w:ascii="宋体" w:hAnsi="宋体" w:cs="宋体" w:eastAsia="宋体"/>
                      <w:sz w:val="20"/>
                      <w:color w:val="000000"/>
                    </w:rPr>
                    <w:t>，支持像素扩展；</w:t>
                  </w:r>
                  <w:r>
                    <w:br/>
                  </w:r>
                  <w:r>
                    <w:rPr>
                      <w:rFonts w:ascii="宋体" w:hAnsi="宋体" w:cs="宋体" w:eastAsia="宋体"/>
                      <w:sz w:val="20"/>
                      <w:color w:val="000000"/>
                    </w:rPr>
                    <w:t>13</w:t>
                  </w:r>
                  <w:r>
                    <w:rPr>
                      <w:rFonts w:ascii="宋体" w:hAnsi="宋体" w:cs="宋体" w:eastAsia="宋体"/>
                      <w:sz w:val="20"/>
                      <w:color w:val="000000"/>
                    </w:rPr>
                    <w:t>、红外热成像相机</w:t>
                  </w:r>
                  <w:r>
                    <w:rPr>
                      <w:rFonts w:ascii="宋体" w:hAnsi="宋体" w:cs="宋体" w:eastAsia="宋体"/>
                      <w:sz w:val="20"/>
                      <w:color w:val="000000"/>
                    </w:rPr>
                    <w:t>等效</w:t>
                  </w:r>
                  <w:r>
                    <w:rPr>
                      <w:rFonts w:ascii="宋体" w:hAnsi="宋体" w:cs="宋体" w:eastAsia="宋体"/>
                      <w:sz w:val="20"/>
                      <w:color w:val="000000"/>
                    </w:rPr>
                    <w:t>焦距</w:t>
                  </w:r>
                  <w:r>
                    <w:rPr>
                      <w:rFonts w:ascii="宋体" w:hAnsi="宋体" w:cs="宋体" w:eastAsia="宋体"/>
                      <w:sz w:val="20"/>
                      <w:color w:val="000000"/>
                    </w:rPr>
                    <w:t>≥</w:t>
                  </w:r>
                  <w:r>
                    <w:rPr>
                      <w:rFonts w:ascii="宋体" w:hAnsi="宋体" w:cs="宋体" w:eastAsia="宋体"/>
                      <w:sz w:val="20"/>
                      <w:color w:val="000000"/>
                    </w:rPr>
                    <w:t>40mm</w:t>
                  </w:r>
                  <w:r>
                    <w:rPr>
                      <w:rFonts w:ascii="宋体" w:hAnsi="宋体" w:cs="宋体" w:eastAsia="宋体"/>
                      <w:sz w:val="20"/>
                      <w:color w:val="000000"/>
                    </w:rPr>
                    <w:t>；</w:t>
                  </w:r>
                  <w:r>
                    <w:br/>
                  </w:r>
                  <w:r>
                    <w:rPr>
                      <w:rFonts w:ascii="宋体" w:hAnsi="宋体" w:cs="宋体" w:eastAsia="宋体"/>
                      <w:sz w:val="20"/>
                      <w:color w:val="000000"/>
                    </w:rPr>
                    <w:t>15</w:t>
                  </w:r>
                  <w:r>
                    <w:rPr>
                      <w:rFonts w:ascii="宋体" w:hAnsi="宋体" w:cs="宋体" w:eastAsia="宋体"/>
                      <w:sz w:val="20"/>
                      <w:color w:val="000000"/>
                    </w:rPr>
                    <w:t>、变焦方式：支持可见光与红外热成像联动变焦；</w:t>
                  </w:r>
                  <w:r>
                    <w:br/>
                  </w:r>
                  <w:r>
                    <w:rPr>
                      <w:rFonts w:ascii="宋体" w:hAnsi="宋体" w:cs="宋体" w:eastAsia="宋体"/>
                      <w:sz w:val="20"/>
                      <w:color w:val="000000"/>
                    </w:rPr>
                    <w:t>16</w:t>
                  </w:r>
                  <w:r>
                    <w:rPr>
                      <w:rFonts w:ascii="宋体" w:hAnsi="宋体" w:cs="宋体" w:eastAsia="宋体"/>
                      <w:sz w:val="20"/>
                      <w:color w:val="000000"/>
                    </w:rPr>
                    <w:t>、</w:t>
                  </w:r>
                  <w:r>
                    <w:rPr>
                      <w:rFonts w:ascii="宋体" w:hAnsi="宋体" w:cs="宋体" w:eastAsia="宋体"/>
                      <w:sz w:val="20"/>
                      <w:color w:val="000000"/>
                    </w:rPr>
                    <w:t>支持</w:t>
                  </w:r>
                  <w:r>
                    <w:rPr>
                      <w:rFonts w:ascii="宋体" w:hAnsi="宋体" w:cs="宋体" w:eastAsia="宋体"/>
                      <w:sz w:val="20"/>
                      <w:color w:val="000000"/>
                    </w:rPr>
                    <w:t>三轴机械增稳云台；</w:t>
                  </w:r>
                  <w:r>
                    <w:br/>
                  </w:r>
                  <w:r>
                    <w:rPr>
                      <w:rFonts w:ascii="宋体" w:hAnsi="宋体" w:cs="宋体" w:eastAsia="宋体"/>
                      <w:sz w:val="20"/>
                      <w:color w:val="000000"/>
                    </w:rPr>
                    <w:t>17</w:t>
                  </w:r>
                  <w:r>
                    <w:rPr>
                      <w:rFonts w:ascii="宋体" w:hAnsi="宋体" w:cs="宋体" w:eastAsia="宋体"/>
                      <w:sz w:val="20"/>
                      <w:color w:val="000000"/>
                    </w:rPr>
                    <w:t>、可见光相机支持</w:t>
                  </w:r>
                  <w:r>
                    <w:rPr>
                      <w:rFonts w:ascii="宋体" w:hAnsi="宋体" w:cs="宋体" w:eastAsia="宋体"/>
                      <w:sz w:val="20"/>
                      <w:color w:val="000000"/>
                    </w:rPr>
                    <w:t>4k30p视频录制。</w:t>
                  </w:r>
                </w:p>
                <w:p>
                  <w:pPr>
                    <w:pStyle w:val="null3"/>
                    <w:jc w:val="left"/>
                  </w:pPr>
                  <w:r>
                    <w:rPr>
                      <w:rFonts w:ascii="宋体" w:hAnsi="宋体" w:cs="宋体" w:eastAsia="宋体"/>
                      <w:sz w:val="20"/>
                      <w:color w:val="000000"/>
                    </w:rPr>
                    <w:t>★</w:t>
                  </w:r>
                  <w:r>
                    <w:rPr>
                      <w:rFonts w:ascii="宋体" w:hAnsi="宋体" w:cs="宋体" w:eastAsia="宋体"/>
                      <w:sz w:val="20"/>
                      <w:color w:val="000000"/>
                    </w:rPr>
                    <w:t>18、支持北斗导航。</w:t>
                  </w:r>
                </w:p>
              </w:tc>
              <w:tc>
                <w:tcPr>
                  <w:tcW w:type="dxa" w:w="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套</w:t>
                  </w:r>
                </w:p>
              </w:tc>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10</w:t>
                  </w:r>
                </w:p>
              </w:tc>
            </w:tr>
            <w:tr>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3</w:t>
                  </w:r>
                </w:p>
              </w:tc>
              <w:tc>
                <w:tcPr>
                  <w:tcW w:type="dxa" w:w="384"/>
                  <w:vMerge/>
                  <w:tcBorders>
                    <w:top w:val="none" w:color="000000" w:sz="4"/>
                    <w:left w:val="single" w:color="000000" w:sz="4"/>
                    <w:bottom w:val="single" w:color="000000" w:sz="4"/>
                    <w:right w:val="single" w:color="000000" w:sz="4"/>
                  </w:tcBorders>
                </w:tcPr>
                <w:p/>
              </w:tc>
              <w:tc>
                <w:tcPr>
                  <w:tcW w:type="dxa" w:w="35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增强图形模块</w:t>
                  </w:r>
                </w:p>
              </w:tc>
              <w:tc>
                <w:tcPr>
                  <w:tcW w:type="dxa" w:w="163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color w:val="000000"/>
                    </w:rPr>
                    <w:t>1、支持ASDIV发射；</w:t>
                  </w:r>
                  <w:r>
                    <w:br/>
                  </w:r>
                  <w:r>
                    <w:rPr>
                      <w:rFonts w:ascii="宋体" w:hAnsi="宋体" w:cs="宋体" w:eastAsia="宋体"/>
                      <w:sz w:val="20"/>
                      <w:color w:val="000000"/>
                    </w:rPr>
                    <w:t>2</w:t>
                  </w:r>
                  <w:r>
                    <w:rPr>
                      <w:rFonts w:ascii="宋体" w:hAnsi="宋体" w:cs="宋体" w:eastAsia="宋体"/>
                      <w:sz w:val="20"/>
                      <w:color w:val="000000"/>
                    </w:rPr>
                    <w:t>、</w:t>
                  </w:r>
                  <w:r>
                    <w:rPr>
                      <w:rFonts w:ascii="宋体" w:hAnsi="宋体" w:cs="宋体" w:eastAsia="宋体"/>
                      <w:sz w:val="20"/>
                      <w:color w:val="000000"/>
                    </w:rPr>
                    <w:t>4G网络接入，</w:t>
                  </w:r>
                  <w:r>
                    <w:rPr>
                      <w:rFonts w:ascii="宋体" w:hAnsi="宋体" w:cs="宋体" w:eastAsia="宋体"/>
                      <w:sz w:val="20"/>
                      <w:color w:val="000000"/>
                    </w:rPr>
                    <w:t>支持</w:t>
                  </w:r>
                  <w:r>
                    <w:rPr>
                      <w:rFonts w:ascii="宋体" w:hAnsi="宋体" w:cs="宋体" w:eastAsia="宋体"/>
                      <w:sz w:val="20"/>
                      <w:color w:val="000000"/>
                    </w:rPr>
                    <w:t>增强图传；</w:t>
                  </w:r>
                  <w:r>
                    <w:br/>
                  </w:r>
                  <w:r>
                    <w:rPr>
                      <w:rFonts w:ascii="宋体" w:hAnsi="宋体" w:cs="宋体" w:eastAsia="宋体"/>
                      <w:sz w:val="20"/>
                      <w:color w:val="000000"/>
                    </w:rPr>
                    <w:t>3</w:t>
                  </w:r>
                  <w:r>
                    <w:rPr>
                      <w:rFonts w:ascii="宋体" w:hAnsi="宋体" w:cs="宋体" w:eastAsia="宋体"/>
                      <w:sz w:val="20"/>
                      <w:color w:val="000000"/>
                    </w:rPr>
                    <w:t>、</w:t>
                  </w:r>
                  <w:r>
                    <w:rPr>
                      <w:rFonts w:ascii="宋体" w:hAnsi="宋体" w:cs="宋体" w:eastAsia="宋体"/>
                      <w:sz w:val="20"/>
                      <w:color w:val="000000"/>
                    </w:rPr>
                    <w:t>支持插拔式使用</w:t>
                  </w:r>
                  <w:r>
                    <w:rPr>
                      <w:rFonts w:ascii="宋体" w:hAnsi="宋体" w:cs="宋体" w:eastAsia="宋体"/>
                      <w:sz w:val="20"/>
                      <w:color w:val="000000"/>
                    </w:rPr>
                    <w:t>。</w:t>
                  </w:r>
                </w:p>
              </w:tc>
              <w:tc>
                <w:tcPr>
                  <w:tcW w:type="dxa" w:w="2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个</w:t>
                  </w:r>
                </w:p>
              </w:tc>
              <w:tc>
                <w:tcPr>
                  <w:tcW w:type="dxa" w:w="23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10</w:t>
                  </w:r>
                </w:p>
              </w:tc>
            </w:tr>
            <w:tr>
              <w:tc>
                <w:tcPr>
                  <w:tcW w:type="dxa" w:w="28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4</w:t>
                  </w:r>
                </w:p>
              </w:tc>
              <w:tc>
                <w:tcPr>
                  <w:tcW w:type="dxa" w:w="38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无人机专用喊话器</w:t>
                  </w:r>
                </w:p>
              </w:tc>
              <w:tc>
                <w:tcPr>
                  <w:tcW w:type="dxa" w:w="35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无人机专用喊话器</w:t>
                  </w:r>
                </w:p>
              </w:tc>
              <w:tc>
                <w:tcPr>
                  <w:tcW w:type="dxa" w:w="163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color w:val="000000"/>
                    </w:rPr>
                    <w:t>1</w:t>
                  </w:r>
                  <w:r>
                    <w:rPr>
                      <w:rFonts w:ascii="宋体" w:hAnsi="宋体" w:cs="宋体" w:eastAsia="宋体"/>
                      <w:sz w:val="20"/>
                      <w:color w:val="000000"/>
                    </w:rPr>
                    <w:t>、防护等级：</w:t>
                  </w:r>
                  <w:r>
                    <w:rPr>
                      <w:rFonts w:ascii="宋体" w:hAnsi="宋体" w:cs="宋体" w:eastAsia="宋体"/>
                      <w:sz w:val="20"/>
                      <w:color w:val="000000"/>
                    </w:rPr>
                    <w:t>≥</w:t>
                  </w:r>
                  <w:r>
                    <w:rPr>
                      <w:rFonts w:ascii="宋体" w:hAnsi="宋体" w:cs="宋体" w:eastAsia="宋体"/>
                      <w:sz w:val="20"/>
                      <w:color w:val="000000"/>
                    </w:rPr>
                    <w:t>IP54；</w:t>
                  </w:r>
                  <w:r>
                    <w:br/>
                  </w:r>
                  <w:r>
                    <w:rPr>
                      <w:rFonts w:ascii="宋体" w:hAnsi="宋体" w:cs="宋体" w:eastAsia="宋体"/>
                      <w:sz w:val="20"/>
                      <w:color w:val="000000"/>
                    </w:rPr>
                    <w:t>2</w:t>
                  </w:r>
                  <w:r>
                    <w:rPr>
                      <w:rFonts w:ascii="宋体" w:hAnsi="宋体" w:cs="宋体" w:eastAsia="宋体"/>
                      <w:sz w:val="20"/>
                      <w:color w:val="000000"/>
                    </w:rPr>
                    <w:t>、工作温度：</w:t>
                  </w:r>
                  <w:r>
                    <w:rPr>
                      <w:rFonts w:ascii="宋体" w:hAnsi="宋体" w:cs="宋体" w:eastAsia="宋体"/>
                      <w:sz w:val="20"/>
                      <w:color w:val="000000"/>
                    </w:rPr>
                    <w:t>≥</w:t>
                  </w:r>
                  <w:r>
                    <w:rPr>
                      <w:rFonts w:ascii="宋体" w:hAnsi="宋体" w:cs="宋体" w:eastAsia="宋体"/>
                      <w:sz w:val="20"/>
                      <w:color w:val="000000"/>
                    </w:rPr>
                    <w:t>-15℃至50℃；</w:t>
                  </w:r>
                  <w:r>
                    <w:br/>
                  </w:r>
                  <w:r>
                    <w:rPr>
                      <w:rFonts w:ascii="宋体" w:hAnsi="宋体" w:cs="宋体" w:eastAsia="宋体"/>
                      <w:sz w:val="20"/>
                      <w:color w:val="000000"/>
                    </w:rPr>
                    <w:t>3</w:t>
                  </w:r>
                  <w:r>
                    <w:rPr>
                      <w:rFonts w:ascii="宋体" w:hAnsi="宋体" w:cs="宋体" w:eastAsia="宋体"/>
                      <w:sz w:val="20"/>
                      <w:color w:val="000000"/>
                    </w:rPr>
                    <w:t>、声压：</w:t>
                  </w:r>
                  <w:r>
                    <w:rPr>
                      <w:rFonts w:ascii="宋体" w:hAnsi="宋体" w:cs="宋体" w:eastAsia="宋体"/>
                      <w:sz w:val="20"/>
                      <w:color w:val="000000"/>
                    </w:rPr>
                    <w:t>≥100dB@1m；</w:t>
                  </w:r>
                  <w:r>
                    <w:br/>
                  </w:r>
                  <w:r>
                    <w:rPr>
                      <w:rFonts w:ascii="宋体" w:hAnsi="宋体" w:cs="宋体" w:eastAsia="宋体"/>
                      <w:sz w:val="20"/>
                      <w:color w:val="000000"/>
                    </w:rPr>
                    <w:t>4</w:t>
                  </w:r>
                  <w:r>
                    <w:rPr>
                      <w:rFonts w:ascii="宋体" w:hAnsi="宋体" w:cs="宋体" w:eastAsia="宋体"/>
                      <w:sz w:val="20"/>
                      <w:color w:val="000000"/>
                    </w:rPr>
                    <w:t>、喊话方式：</w:t>
                  </w:r>
                  <w:r>
                    <w:rPr>
                      <w:rFonts w:ascii="宋体" w:hAnsi="宋体" w:cs="宋体" w:eastAsia="宋体"/>
                      <w:sz w:val="20"/>
                      <w:color w:val="000000"/>
                    </w:rPr>
                    <w:t>支持</w:t>
                  </w:r>
                  <w:r>
                    <w:rPr>
                      <w:rFonts w:ascii="宋体" w:hAnsi="宋体" w:cs="宋体" w:eastAsia="宋体"/>
                      <w:sz w:val="20"/>
                      <w:color w:val="000000"/>
                    </w:rPr>
                    <w:t>实时喊话、</w:t>
                  </w:r>
                  <w:r>
                    <w:rPr>
                      <w:rFonts w:ascii="宋体" w:hAnsi="宋体" w:cs="宋体" w:eastAsia="宋体"/>
                      <w:sz w:val="20"/>
                      <w:color w:val="000000"/>
                    </w:rPr>
                    <w:t>录音喊话</w:t>
                  </w:r>
                  <w:r>
                    <w:rPr>
                      <w:rFonts w:ascii="宋体" w:hAnsi="宋体" w:cs="宋体" w:eastAsia="宋体"/>
                      <w:sz w:val="20"/>
                      <w:color w:val="000000"/>
                    </w:rPr>
                    <w:t>及</w:t>
                  </w:r>
                  <w:r>
                    <w:rPr>
                      <w:rFonts w:ascii="宋体" w:hAnsi="宋体" w:cs="宋体" w:eastAsia="宋体"/>
                      <w:sz w:val="20"/>
                      <w:color w:val="000000"/>
                    </w:rPr>
                    <w:t>文件播放等</w:t>
                  </w:r>
                  <w:r>
                    <w:rPr>
                      <w:rFonts w:ascii="宋体" w:hAnsi="宋体" w:cs="宋体" w:eastAsia="宋体"/>
                      <w:sz w:val="20"/>
                      <w:color w:val="000000"/>
                    </w:rPr>
                    <w:t>。</w:t>
                  </w:r>
                </w:p>
              </w:tc>
              <w:tc>
                <w:tcPr>
                  <w:tcW w:type="dxa" w:w="2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套</w:t>
                  </w:r>
                </w:p>
              </w:tc>
              <w:tc>
                <w:tcPr>
                  <w:tcW w:type="dxa" w:w="23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10</w:t>
                  </w:r>
                </w:p>
              </w:tc>
            </w:tr>
            <w:tr>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5</w:t>
                  </w:r>
                </w:p>
              </w:tc>
              <w:tc>
                <w:tcPr>
                  <w:tcW w:type="dxa" w:w="38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无人机机场安装部署</w:t>
                  </w:r>
                </w:p>
              </w:tc>
              <w:tc>
                <w:tcPr>
                  <w:tcW w:type="dxa" w:w="35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水泥基座</w:t>
                  </w:r>
                </w:p>
              </w:tc>
              <w:tc>
                <w:tcPr>
                  <w:tcW w:type="dxa" w:w="163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color w:val="000000"/>
                    </w:rPr>
                    <w:t>1、混凝土底座尺寸</w:t>
                  </w:r>
                  <w:r>
                    <w:rPr>
                      <w:rFonts w:ascii="宋体" w:hAnsi="宋体" w:cs="宋体" w:eastAsia="宋体"/>
                      <w:sz w:val="20"/>
                      <w:color w:val="000000"/>
                    </w:rPr>
                    <w:t>不小于</w:t>
                  </w:r>
                  <w:r>
                    <w:rPr>
                      <w:rFonts w:ascii="宋体" w:hAnsi="宋体" w:cs="宋体" w:eastAsia="宋体"/>
                      <w:sz w:val="20"/>
                      <w:color w:val="000000"/>
                    </w:rPr>
                    <w:t>700 mm×700 mm×100 mm</w:t>
                  </w:r>
                  <w:r>
                    <w:rPr>
                      <w:rFonts w:ascii="宋体" w:hAnsi="宋体" w:cs="宋体" w:eastAsia="宋体"/>
                      <w:sz w:val="20"/>
                      <w:color w:val="000000"/>
                    </w:rPr>
                    <w:t>；</w:t>
                  </w:r>
                </w:p>
              </w:tc>
              <w:tc>
                <w:tcPr>
                  <w:tcW w:type="dxa" w:w="2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套</w:t>
                  </w:r>
                </w:p>
              </w:tc>
              <w:tc>
                <w:tcPr>
                  <w:tcW w:type="dxa" w:w="23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10</w:t>
                  </w:r>
                </w:p>
              </w:tc>
            </w:tr>
            <w:tr>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6</w:t>
                  </w:r>
                </w:p>
              </w:tc>
              <w:tc>
                <w:tcPr>
                  <w:tcW w:type="dxa" w:w="384"/>
                  <w:vMerge/>
                  <w:tcBorders>
                    <w:top w:val="none" w:color="000000" w:sz="4"/>
                    <w:left w:val="single" w:color="000000" w:sz="4"/>
                    <w:bottom w:val="single" w:color="000000" w:sz="4"/>
                    <w:right w:val="single" w:color="000000" w:sz="4"/>
                  </w:tcBorders>
                </w:tcPr>
                <w:p/>
              </w:tc>
              <w:tc>
                <w:tcPr>
                  <w:tcW w:type="dxa" w:w="35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安全护栏</w:t>
                  </w:r>
                </w:p>
              </w:tc>
              <w:tc>
                <w:tcPr>
                  <w:tcW w:type="dxa" w:w="163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color w:val="000000"/>
                    </w:rPr>
                    <w:t>1、塑钢护栏：一套4个；</w:t>
                  </w:r>
                  <w:r>
                    <w:br/>
                  </w:r>
                  <w:r>
                    <w:rPr>
                      <w:rFonts w:ascii="宋体" w:hAnsi="宋体" w:cs="宋体" w:eastAsia="宋体"/>
                      <w:sz w:val="20"/>
                      <w:color w:val="000000"/>
                    </w:rPr>
                    <w:t>2、耐磨防腐，抗震结实；</w:t>
                  </w:r>
                  <w:r>
                    <w:br/>
                  </w:r>
                  <w:r>
                    <w:rPr>
                      <w:rFonts w:ascii="宋体" w:hAnsi="宋体" w:cs="宋体" w:eastAsia="宋体"/>
                      <w:sz w:val="20"/>
                      <w:color w:val="000000"/>
                    </w:rPr>
                    <w:t>3、定制门框，方便检修维护；</w:t>
                  </w:r>
                  <w:r>
                    <w:br/>
                  </w:r>
                  <w:r>
                    <w:rPr>
                      <w:rFonts w:ascii="宋体" w:hAnsi="宋体" w:cs="宋体" w:eastAsia="宋体"/>
                      <w:sz w:val="20"/>
                      <w:color w:val="000000"/>
                    </w:rPr>
                    <w:t>4、耐高温、防变形。</w:t>
                  </w:r>
                </w:p>
              </w:tc>
              <w:tc>
                <w:tcPr>
                  <w:tcW w:type="dxa" w:w="2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套</w:t>
                  </w:r>
                </w:p>
              </w:tc>
              <w:tc>
                <w:tcPr>
                  <w:tcW w:type="dxa" w:w="23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10</w:t>
                  </w:r>
                </w:p>
              </w:tc>
            </w:tr>
            <w:tr>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7</w:t>
                  </w:r>
                </w:p>
              </w:tc>
              <w:tc>
                <w:tcPr>
                  <w:tcW w:type="dxa" w:w="384"/>
                  <w:vMerge/>
                  <w:tcBorders>
                    <w:top w:val="none" w:color="000000" w:sz="4"/>
                    <w:left w:val="single" w:color="000000" w:sz="4"/>
                    <w:bottom w:val="single" w:color="000000" w:sz="4"/>
                    <w:right w:val="single" w:color="000000" w:sz="4"/>
                  </w:tcBorders>
                </w:tcPr>
                <w:p/>
              </w:tc>
              <w:tc>
                <w:tcPr>
                  <w:tcW w:type="dxa" w:w="35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电缆</w:t>
                  </w:r>
                </w:p>
              </w:tc>
              <w:tc>
                <w:tcPr>
                  <w:tcW w:type="dxa" w:w="163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color w:val="000000"/>
                    </w:rPr>
                    <w:t>1、电缆线80</w:t>
                  </w:r>
                  <w:r>
                    <w:rPr>
                      <w:rFonts w:ascii="宋体" w:hAnsi="宋体" w:cs="宋体" w:eastAsia="宋体"/>
                      <w:sz w:val="20"/>
                      <w:color w:val="000000"/>
                    </w:rPr>
                    <w:t>m</w:t>
                  </w:r>
                  <w:r>
                    <w:rPr>
                      <w:rFonts w:ascii="宋体" w:hAnsi="宋体" w:cs="宋体" w:eastAsia="宋体"/>
                      <w:sz w:val="20"/>
                      <w:color w:val="000000"/>
                    </w:rPr>
                    <w:t>；</w:t>
                  </w:r>
                  <w:r>
                    <w:br/>
                  </w:r>
                  <w:r>
                    <w:rPr>
                      <w:rFonts w:ascii="宋体" w:hAnsi="宋体" w:cs="宋体" w:eastAsia="宋体"/>
                      <w:sz w:val="20"/>
                      <w:color w:val="000000"/>
                    </w:rPr>
                    <w:t>2、RVVP3*2.5mm²；</w:t>
                  </w:r>
                  <w:r>
                    <w:br/>
                  </w:r>
                  <w:r>
                    <w:rPr>
                      <w:rFonts w:ascii="宋体" w:hAnsi="宋体" w:cs="宋体" w:eastAsia="宋体"/>
                      <w:sz w:val="20"/>
                      <w:color w:val="000000"/>
                    </w:rPr>
                    <w:t>3、国标；</w:t>
                  </w:r>
                </w:p>
              </w:tc>
              <w:tc>
                <w:tcPr>
                  <w:tcW w:type="dxa" w:w="2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套</w:t>
                  </w:r>
                </w:p>
              </w:tc>
              <w:tc>
                <w:tcPr>
                  <w:tcW w:type="dxa" w:w="23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10</w:t>
                  </w:r>
                </w:p>
              </w:tc>
            </w:tr>
            <w:tr>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8</w:t>
                  </w:r>
                </w:p>
              </w:tc>
              <w:tc>
                <w:tcPr>
                  <w:tcW w:type="dxa" w:w="384"/>
                  <w:vMerge/>
                  <w:tcBorders>
                    <w:top w:val="none" w:color="000000" w:sz="4"/>
                    <w:left w:val="single" w:color="000000" w:sz="4"/>
                    <w:bottom w:val="single" w:color="000000" w:sz="4"/>
                    <w:right w:val="single" w:color="000000" w:sz="4"/>
                  </w:tcBorders>
                </w:tcPr>
                <w:p/>
              </w:tc>
              <w:tc>
                <w:tcPr>
                  <w:tcW w:type="dxa" w:w="35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网线</w:t>
                  </w:r>
                </w:p>
              </w:tc>
              <w:tc>
                <w:tcPr>
                  <w:tcW w:type="dxa" w:w="163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color w:val="000000"/>
                    </w:rPr>
                    <w:t>1、六类非屏蔽网线：80</w:t>
                  </w:r>
                  <w:r>
                    <w:rPr>
                      <w:rFonts w:ascii="宋体" w:hAnsi="宋体" w:cs="宋体" w:eastAsia="宋体"/>
                      <w:sz w:val="20"/>
                      <w:color w:val="000000"/>
                    </w:rPr>
                    <w:t>m</w:t>
                  </w:r>
                  <w:r>
                    <w:rPr>
                      <w:rFonts w:ascii="宋体" w:hAnsi="宋体" w:cs="宋体" w:eastAsia="宋体"/>
                      <w:sz w:val="20"/>
                      <w:color w:val="000000"/>
                    </w:rPr>
                    <w:t>；</w:t>
                  </w:r>
                </w:p>
              </w:tc>
              <w:tc>
                <w:tcPr>
                  <w:tcW w:type="dxa" w:w="2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套</w:t>
                  </w:r>
                </w:p>
              </w:tc>
              <w:tc>
                <w:tcPr>
                  <w:tcW w:type="dxa" w:w="23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10</w:t>
                  </w:r>
                </w:p>
              </w:tc>
            </w:tr>
            <w:tr>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9</w:t>
                  </w:r>
                </w:p>
              </w:tc>
              <w:tc>
                <w:tcPr>
                  <w:tcW w:type="dxa" w:w="384"/>
                  <w:vMerge/>
                  <w:tcBorders>
                    <w:top w:val="none" w:color="000000" w:sz="4"/>
                    <w:left w:val="single" w:color="000000" w:sz="4"/>
                    <w:bottom w:val="single" w:color="000000" w:sz="4"/>
                    <w:right w:val="single" w:color="000000" w:sz="4"/>
                  </w:tcBorders>
                </w:tcPr>
                <w:p/>
              </w:tc>
              <w:tc>
                <w:tcPr>
                  <w:tcW w:type="dxa" w:w="35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监控设备</w:t>
                  </w:r>
                </w:p>
              </w:tc>
              <w:tc>
                <w:tcPr>
                  <w:tcW w:type="dxa" w:w="163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color w:val="000000"/>
                    </w:rPr>
                    <w:t>1、具备第三视角及昼夜监控能力；</w:t>
                  </w:r>
                </w:p>
                <w:p>
                  <w:pPr>
                    <w:pStyle w:val="null3"/>
                    <w:jc w:val="left"/>
                  </w:pPr>
                  <w:r>
                    <w:rPr>
                      <w:rFonts w:ascii="宋体" w:hAnsi="宋体" w:cs="宋体" w:eastAsia="宋体"/>
                      <w:sz w:val="20"/>
                      <w:color w:val="000000"/>
                    </w:rPr>
                    <w:t>2、本地存储时长≥30天；</w:t>
                  </w:r>
                </w:p>
                <w:p>
                  <w:pPr>
                    <w:pStyle w:val="null3"/>
                    <w:jc w:val="left"/>
                  </w:pPr>
                  <w:r>
                    <w:rPr>
                      <w:rFonts w:ascii="宋体" w:hAnsi="宋体" w:cs="宋体" w:eastAsia="宋体"/>
                      <w:sz w:val="20"/>
                      <w:color w:val="000000"/>
                    </w:rPr>
                    <w:t>3、支持视频实时输出；</w:t>
                  </w:r>
                </w:p>
                <w:p>
                  <w:pPr>
                    <w:pStyle w:val="null3"/>
                    <w:jc w:val="left"/>
                  </w:pPr>
                  <w:r>
                    <w:rPr>
                      <w:rFonts w:ascii="宋体" w:hAnsi="宋体" w:cs="宋体" w:eastAsia="宋体"/>
                      <w:sz w:val="20"/>
                      <w:color w:val="000000"/>
                    </w:rPr>
                    <w:t>4、支持本地离线实时查看；</w:t>
                  </w:r>
                  <w:r>
                    <w:br/>
                  </w:r>
                  <w:r>
                    <w:rPr>
                      <w:rFonts w:ascii="宋体" w:hAnsi="宋体" w:cs="宋体" w:eastAsia="宋体"/>
                      <w:sz w:val="20"/>
                      <w:color w:val="000000"/>
                    </w:rPr>
                    <w:t>5、支持第三方API扩展。</w:t>
                  </w:r>
                </w:p>
              </w:tc>
              <w:tc>
                <w:tcPr>
                  <w:tcW w:type="dxa" w:w="2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套</w:t>
                  </w:r>
                </w:p>
              </w:tc>
              <w:tc>
                <w:tcPr>
                  <w:tcW w:type="dxa" w:w="23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10</w:t>
                  </w:r>
                </w:p>
              </w:tc>
            </w:tr>
            <w:tr>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10</w:t>
                  </w:r>
                </w:p>
              </w:tc>
              <w:tc>
                <w:tcPr>
                  <w:tcW w:type="dxa" w:w="384"/>
                  <w:vMerge/>
                  <w:tcBorders>
                    <w:top w:val="none" w:color="000000" w:sz="4"/>
                    <w:left w:val="single" w:color="000000" w:sz="4"/>
                    <w:bottom w:val="single" w:color="000000" w:sz="4"/>
                    <w:right w:val="single" w:color="000000" w:sz="4"/>
                  </w:tcBorders>
                </w:tcPr>
                <w:p/>
              </w:tc>
              <w:tc>
                <w:tcPr>
                  <w:tcW w:type="dxa" w:w="35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定制钢架</w:t>
                  </w:r>
                </w:p>
              </w:tc>
              <w:tc>
                <w:tcPr>
                  <w:tcW w:type="dxa" w:w="163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color w:val="000000"/>
                    </w:rPr>
                    <w:t>尺寸：</w:t>
                  </w:r>
                  <w:r>
                    <w:rPr>
                      <w:rFonts w:ascii="宋体" w:hAnsi="宋体" w:cs="宋体" w:eastAsia="宋体"/>
                      <w:sz w:val="20"/>
                      <w:color w:val="000000"/>
                    </w:rPr>
                    <w:t>60cm*60cm*100cm（长宽高）；</w:t>
                  </w:r>
                </w:p>
                <w:p>
                  <w:pPr>
                    <w:pStyle w:val="null3"/>
                    <w:jc w:val="left"/>
                  </w:pPr>
                  <w:r>
                    <w:rPr>
                      <w:rFonts w:ascii="宋体" w:hAnsi="宋体" w:cs="宋体" w:eastAsia="宋体"/>
                      <w:sz w:val="20"/>
                      <w:color w:val="000000"/>
                    </w:rPr>
                    <w:t>防锈防腐蚀，安装稳固。</w:t>
                  </w:r>
                </w:p>
              </w:tc>
              <w:tc>
                <w:tcPr>
                  <w:tcW w:type="dxa" w:w="2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个</w:t>
                  </w:r>
                </w:p>
              </w:tc>
              <w:tc>
                <w:tcPr>
                  <w:tcW w:type="dxa" w:w="23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10</w:t>
                  </w:r>
                </w:p>
              </w:tc>
            </w:tr>
            <w:tr>
              <w:tc>
                <w:tcPr>
                  <w:tcW w:type="dxa" w:w="28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11</w:t>
                  </w:r>
                </w:p>
              </w:tc>
              <w:tc>
                <w:tcPr>
                  <w:tcW w:type="dxa" w:w="384"/>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林业局巡查指挥系统（基础功能定制开发）</w:t>
                  </w:r>
                </w:p>
              </w:tc>
              <w:tc>
                <w:tcPr>
                  <w:tcW w:type="dxa" w:w="35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航线规划</w:t>
                  </w:r>
                </w:p>
              </w:tc>
              <w:tc>
                <w:tcPr>
                  <w:tcW w:type="dxa" w:w="163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color w:val="000000"/>
                    </w:rPr>
                    <w:t>1</w:t>
                  </w:r>
                  <w:r>
                    <w:rPr>
                      <w:rFonts w:ascii="宋体" w:hAnsi="宋体" w:cs="宋体" w:eastAsia="宋体"/>
                      <w:sz w:val="20"/>
                      <w:color w:val="000000"/>
                    </w:rPr>
                    <w:t>、</w:t>
                  </w:r>
                  <w:r>
                    <w:rPr>
                      <w:rFonts w:ascii="宋体" w:hAnsi="宋体" w:cs="宋体" w:eastAsia="宋体"/>
                      <w:sz w:val="20"/>
                      <w:color w:val="000000"/>
                    </w:rPr>
                    <w:t>具备航线规划功能，</w:t>
                  </w:r>
                  <w:r>
                    <w:rPr>
                      <w:rFonts w:ascii="宋体" w:hAnsi="宋体" w:cs="宋体" w:eastAsia="宋体"/>
                      <w:sz w:val="20"/>
                      <w:color w:val="000000"/>
                    </w:rPr>
                    <w:t>支持航线高度模式、安全起飞高度、返航高度</w:t>
                  </w:r>
                  <w:r>
                    <w:rPr>
                      <w:rFonts w:ascii="宋体" w:hAnsi="宋体" w:cs="宋体" w:eastAsia="宋体"/>
                      <w:sz w:val="20"/>
                      <w:color w:val="000000"/>
                    </w:rPr>
                    <w:t>等不少于</w:t>
                  </w:r>
                  <w:r>
                    <w:rPr>
                      <w:rFonts w:ascii="宋体" w:hAnsi="宋体" w:cs="宋体" w:eastAsia="宋体"/>
                      <w:sz w:val="20"/>
                      <w:color w:val="000000"/>
                    </w:rPr>
                    <w:t>9种</w:t>
                  </w:r>
                  <w:r>
                    <w:rPr>
                      <w:rFonts w:ascii="宋体" w:hAnsi="宋体" w:cs="宋体" w:eastAsia="宋体"/>
                      <w:sz w:val="20"/>
                      <w:color w:val="000000"/>
                    </w:rPr>
                    <w:t>航线要素设置</w:t>
                  </w:r>
                  <w:r>
                    <w:rPr>
                      <w:rFonts w:ascii="宋体" w:hAnsi="宋体" w:cs="宋体" w:eastAsia="宋体"/>
                      <w:sz w:val="20"/>
                      <w:color w:val="000000"/>
                    </w:rPr>
                    <w:t>；支持</w:t>
                  </w:r>
                  <w:r>
                    <w:rPr>
                      <w:rFonts w:ascii="宋体" w:hAnsi="宋体" w:cs="宋体" w:eastAsia="宋体"/>
                      <w:sz w:val="20"/>
                      <w:color w:val="000000"/>
                    </w:rPr>
                    <w:t>不少于</w:t>
                  </w:r>
                  <w:r>
                    <w:rPr>
                      <w:rFonts w:ascii="宋体" w:hAnsi="宋体" w:cs="宋体" w:eastAsia="宋体"/>
                      <w:sz w:val="20"/>
                      <w:color w:val="000000"/>
                    </w:rPr>
                    <w:t>8种</w:t>
                  </w:r>
                  <w:r>
                    <w:rPr>
                      <w:rFonts w:ascii="宋体" w:hAnsi="宋体" w:cs="宋体" w:eastAsia="宋体"/>
                      <w:sz w:val="20"/>
                      <w:color w:val="000000"/>
                    </w:rPr>
                    <w:t>航点</w:t>
                  </w:r>
                  <w:r>
                    <w:rPr>
                      <w:rFonts w:ascii="宋体" w:hAnsi="宋体" w:cs="宋体" w:eastAsia="宋体"/>
                      <w:sz w:val="20"/>
                      <w:color w:val="000000"/>
                    </w:rPr>
                    <w:t>要素设置，</w:t>
                  </w:r>
                  <w:r>
                    <w:rPr>
                      <w:rFonts w:ascii="宋体" w:hAnsi="宋体" w:cs="宋体" w:eastAsia="宋体"/>
                      <w:sz w:val="20"/>
                      <w:color w:val="000000"/>
                    </w:rPr>
                    <w:t>支持</w:t>
                  </w:r>
                  <w:r>
                    <w:rPr>
                      <w:rFonts w:ascii="宋体" w:hAnsi="宋体" w:cs="宋体" w:eastAsia="宋体"/>
                      <w:sz w:val="20"/>
                      <w:color w:val="000000"/>
                    </w:rPr>
                    <w:t>KMZ格式航线导入和下发；</w:t>
                  </w:r>
                </w:p>
                <w:p>
                  <w:pPr>
                    <w:pStyle w:val="null3"/>
                    <w:jc w:val="left"/>
                  </w:pPr>
                  <w:r>
                    <w:rPr>
                      <w:rFonts w:ascii="宋体" w:hAnsi="宋体" w:cs="宋体" w:eastAsia="宋体"/>
                      <w:sz w:val="20"/>
                      <w:color w:val="000000"/>
                    </w:rPr>
                    <w:t>2</w:t>
                  </w:r>
                  <w:r>
                    <w:rPr>
                      <w:rFonts w:ascii="宋体" w:hAnsi="宋体" w:cs="宋体" w:eastAsia="宋体"/>
                      <w:sz w:val="20"/>
                      <w:color w:val="000000"/>
                    </w:rPr>
                    <w:t>、支持不少于</w:t>
                  </w:r>
                  <w:r>
                    <w:rPr>
                      <w:rFonts w:ascii="宋体" w:hAnsi="宋体" w:cs="宋体" w:eastAsia="宋体"/>
                      <w:sz w:val="20"/>
                      <w:color w:val="000000"/>
                    </w:rPr>
                    <w:t>5种面状航线要素设置；</w:t>
                  </w:r>
                </w:p>
                <w:p>
                  <w:pPr>
                    <w:pStyle w:val="null3"/>
                    <w:jc w:val="left"/>
                  </w:pPr>
                  <w:r>
                    <w:rPr>
                      <w:rFonts w:ascii="宋体" w:hAnsi="宋体" w:cs="宋体" w:eastAsia="宋体"/>
                      <w:sz w:val="20"/>
                      <w:color w:val="000000"/>
                    </w:rPr>
                    <w:t>3</w:t>
                  </w:r>
                  <w:r>
                    <w:rPr>
                      <w:rFonts w:ascii="宋体" w:hAnsi="宋体" w:cs="宋体" w:eastAsia="宋体"/>
                      <w:sz w:val="20"/>
                      <w:color w:val="000000"/>
                    </w:rPr>
                    <w:t>、支持地图标注绘制。</w:t>
                  </w:r>
                </w:p>
              </w:tc>
              <w:tc>
                <w:tcPr>
                  <w:tcW w:type="dxa" w:w="2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套</w:t>
                  </w:r>
                </w:p>
              </w:tc>
              <w:tc>
                <w:tcPr>
                  <w:tcW w:type="dxa" w:w="23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1</w:t>
                  </w:r>
                </w:p>
              </w:tc>
            </w:tr>
            <w:tr>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12</w:t>
                  </w:r>
                </w:p>
              </w:tc>
              <w:tc>
                <w:tcPr>
                  <w:tcW w:type="dxa" w:w="384"/>
                  <w:vMerge/>
                  <w:tcBorders>
                    <w:top w:val="none" w:color="000000" w:sz="4"/>
                    <w:left w:val="single" w:color="000000" w:sz="4"/>
                    <w:bottom w:val="single" w:color="000000" w:sz="4"/>
                    <w:right w:val="single" w:color="000000" w:sz="4"/>
                  </w:tcBorders>
                </w:tcPr>
                <w:p/>
              </w:tc>
              <w:tc>
                <w:tcPr>
                  <w:tcW w:type="dxa" w:w="35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任务下发</w:t>
                  </w:r>
                </w:p>
              </w:tc>
              <w:tc>
                <w:tcPr>
                  <w:tcW w:type="dxa" w:w="163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color w:val="000000"/>
                    </w:rPr>
                    <w:t>1、支持机场无人机巡检任务下发，无人机自动执行航线巡检任务；</w:t>
                  </w:r>
                </w:p>
                <w:p>
                  <w:pPr>
                    <w:pStyle w:val="null3"/>
                    <w:jc w:val="left"/>
                  </w:pPr>
                  <w:r>
                    <w:rPr>
                      <w:rFonts w:ascii="宋体" w:hAnsi="宋体" w:cs="宋体" w:eastAsia="宋体"/>
                      <w:sz w:val="20"/>
                      <w:color w:val="000000"/>
                    </w:rPr>
                    <w:t>2、支持选择日期范围、执行时间、间隔时间及循环类型。</w:t>
                  </w:r>
                </w:p>
              </w:tc>
              <w:tc>
                <w:tcPr>
                  <w:tcW w:type="dxa" w:w="2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套</w:t>
                  </w:r>
                </w:p>
              </w:tc>
              <w:tc>
                <w:tcPr>
                  <w:tcW w:type="dxa" w:w="23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1</w:t>
                  </w:r>
                </w:p>
              </w:tc>
            </w:tr>
            <w:tr>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13</w:t>
                  </w:r>
                </w:p>
              </w:tc>
              <w:tc>
                <w:tcPr>
                  <w:tcW w:type="dxa" w:w="384"/>
                  <w:vMerge/>
                  <w:tcBorders>
                    <w:top w:val="none" w:color="000000" w:sz="4"/>
                    <w:left w:val="single" w:color="000000" w:sz="4"/>
                    <w:bottom w:val="single" w:color="000000" w:sz="4"/>
                    <w:right w:val="single" w:color="000000" w:sz="4"/>
                  </w:tcBorders>
                </w:tcPr>
                <w:p/>
              </w:tc>
              <w:tc>
                <w:tcPr>
                  <w:tcW w:type="dxa" w:w="35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数据应用</w:t>
                  </w:r>
                </w:p>
              </w:tc>
              <w:tc>
                <w:tcPr>
                  <w:tcW w:type="dxa" w:w="163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color w:val="000000"/>
                    </w:rPr>
                    <w:t>1、支持巡检数据上传至服务器；</w:t>
                  </w:r>
                </w:p>
                <w:p>
                  <w:pPr>
                    <w:pStyle w:val="null3"/>
                    <w:jc w:val="left"/>
                  </w:pPr>
                  <w:r>
                    <w:rPr>
                      <w:rFonts w:ascii="宋体" w:hAnsi="宋体" w:cs="宋体" w:eastAsia="宋体"/>
                      <w:sz w:val="20"/>
                      <w:color w:val="000000"/>
                    </w:rPr>
                    <w:t>2、在地图叠加展示照片及数据图层</w:t>
                  </w:r>
                  <w:r>
                    <w:rPr>
                      <w:rFonts w:ascii="宋体" w:hAnsi="宋体" w:cs="宋体" w:eastAsia="宋体"/>
                      <w:sz w:val="20"/>
                      <w:color w:val="000000"/>
                    </w:rPr>
                    <w:t>，</w:t>
                  </w:r>
                  <w:r>
                    <w:rPr>
                      <w:rFonts w:ascii="宋体" w:hAnsi="宋体" w:cs="宋体" w:eastAsia="宋体"/>
                      <w:sz w:val="20"/>
                      <w:color w:val="000000"/>
                    </w:rPr>
                    <w:t>相同航线数据对比标注，生成对比记录。</w:t>
                  </w:r>
                </w:p>
              </w:tc>
              <w:tc>
                <w:tcPr>
                  <w:tcW w:type="dxa" w:w="2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套</w:t>
                  </w:r>
                </w:p>
              </w:tc>
              <w:tc>
                <w:tcPr>
                  <w:tcW w:type="dxa" w:w="23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1</w:t>
                  </w:r>
                </w:p>
              </w:tc>
            </w:tr>
            <w:tr>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14</w:t>
                  </w:r>
                </w:p>
              </w:tc>
              <w:tc>
                <w:tcPr>
                  <w:tcW w:type="dxa" w:w="384"/>
                  <w:vMerge/>
                  <w:tcBorders>
                    <w:top w:val="none" w:color="000000" w:sz="4"/>
                    <w:left w:val="single" w:color="000000" w:sz="4"/>
                    <w:bottom w:val="single" w:color="000000" w:sz="4"/>
                    <w:right w:val="single" w:color="000000" w:sz="4"/>
                  </w:tcBorders>
                </w:tcPr>
                <w:p/>
              </w:tc>
              <w:tc>
                <w:tcPr>
                  <w:tcW w:type="dxa" w:w="35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辅助设置</w:t>
                  </w:r>
                </w:p>
              </w:tc>
              <w:tc>
                <w:tcPr>
                  <w:tcW w:type="dxa" w:w="163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color w:val="000000"/>
                    </w:rPr>
                    <w:t>1、</w:t>
                  </w:r>
                  <w:r>
                    <w:rPr>
                      <w:rFonts w:ascii="宋体" w:hAnsi="宋体" w:cs="宋体" w:eastAsia="宋体"/>
                      <w:sz w:val="20"/>
                      <w:color w:val="000000"/>
                    </w:rPr>
                    <w:t>支持通过</w:t>
                  </w:r>
                  <w:r>
                    <w:rPr>
                      <w:rFonts w:ascii="宋体" w:hAnsi="宋体" w:cs="宋体" w:eastAsia="宋体"/>
                      <w:sz w:val="20"/>
                      <w:color w:val="000000"/>
                    </w:rPr>
                    <w:t>算法辅助设置无人机</w:t>
                  </w:r>
                  <w:r>
                    <w:rPr>
                      <w:rFonts w:ascii="宋体" w:hAnsi="宋体" w:cs="宋体" w:eastAsia="宋体"/>
                      <w:sz w:val="20"/>
                      <w:color w:val="000000"/>
                    </w:rPr>
                    <w:t>参数</w:t>
                  </w:r>
                  <w:r>
                    <w:rPr>
                      <w:rFonts w:ascii="宋体" w:hAnsi="宋体" w:cs="宋体" w:eastAsia="宋体"/>
                      <w:sz w:val="20"/>
                      <w:color w:val="000000"/>
                    </w:rPr>
                    <w:t>及适用场景等内容；</w:t>
                  </w:r>
                </w:p>
                <w:p>
                  <w:pPr>
                    <w:pStyle w:val="null3"/>
                    <w:jc w:val="left"/>
                  </w:pPr>
                  <w:r>
                    <w:rPr>
                      <w:rFonts w:ascii="宋体" w:hAnsi="宋体" w:cs="宋体" w:eastAsia="宋体"/>
                      <w:sz w:val="20"/>
                      <w:color w:val="000000"/>
                    </w:rPr>
                    <w:t>2、支持航线规划安全飞行提醒，超出机场无人机覆盖范围添加航点系统告警提示。</w:t>
                  </w:r>
                </w:p>
              </w:tc>
              <w:tc>
                <w:tcPr>
                  <w:tcW w:type="dxa" w:w="2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套</w:t>
                  </w:r>
                </w:p>
              </w:tc>
              <w:tc>
                <w:tcPr>
                  <w:tcW w:type="dxa" w:w="23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1</w:t>
                  </w:r>
                </w:p>
              </w:tc>
            </w:tr>
            <w:tr>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15</w:t>
                  </w:r>
                </w:p>
              </w:tc>
              <w:tc>
                <w:tcPr>
                  <w:tcW w:type="dxa" w:w="384"/>
                  <w:vMerge/>
                  <w:tcBorders>
                    <w:top w:val="none" w:color="000000" w:sz="4"/>
                    <w:left w:val="single" w:color="000000" w:sz="4"/>
                    <w:bottom w:val="single" w:color="000000" w:sz="4"/>
                    <w:right w:val="single" w:color="000000" w:sz="4"/>
                  </w:tcBorders>
                </w:tcPr>
                <w:p/>
              </w:tc>
              <w:tc>
                <w:tcPr>
                  <w:tcW w:type="dxa" w:w="35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高清直播</w:t>
                  </w:r>
                </w:p>
              </w:tc>
              <w:tc>
                <w:tcPr>
                  <w:tcW w:type="dxa" w:w="163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color w:val="000000"/>
                    </w:rPr>
                    <w:t>1、支持高清直播</w:t>
                  </w:r>
                  <w:r>
                    <w:rPr>
                      <w:rFonts w:ascii="宋体" w:hAnsi="宋体" w:cs="宋体" w:eastAsia="宋体"/>
                      <w:sz w:val="20"/>
                      <w:color w:val="000000"/>
                    </w:rPr>
                    <w:t>、画中画直播</w:t>
                  </w:r>
                  <w:r>
                    <w:rPr>
                      <w:rFonts w:ascii="宋体" w:hAnsi="宋体" w:cs="宋体" w:eastAsia="宋体"/>
                      <w:sz w:val="20"/>
                      <w:color w:val="000000"/>
                    </w:rPr>
                    <w:t>功能；</w:t>
                  </w:r>
                </w:p>
                <w:p>
                  <w:pPr>
                    <w:pStyle w:val="null3"/>
                    <w:jc w:val="left"/>
                  </w:pPr>
                  <w:r>
                    <w:rPr>
                      <w:rFonts w:ascii="宋体" w:hAnsi="宋体" w:cs="宋体" w:eastAsia="宋体"/>
                      <w:sz w:val="20"/>
                      <w:color w:val="000000"/>
                    </w:rPr>
                    <w:t>2、支持多屏远程控制云台功能。</w:t>
                  </w:r>
                </w:p>
              </w:tc>
              <w:tc>
                <w:tcPr>
                  <w:tcW w:type="dxa" w:w="2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套</w:t>
                  </w:r>
                </w:p>
              </w:tc>
              <w:tc>
                <w:tcPr>
                  <w:tcW w:type="dxa" w:w="23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1</w:t>
                  </w:r>
                </w:p>
              </w:tc>
            </w:tr>
            <w:tr>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16</w:t>
                  </w:r>
                </w:p>
              </w:tc>
              <w:tc>
                <w:tcPr>
                  <w:tcW w:type="dxa" w:w="384"/>
                  <w:vMerge/>
                  <w:tcBorders>
                    <w:top w:val="none" w:color="000000" w:sz="4"/>
                    <w:left w:val="single" w:color="000000" w:sz="4"/>
                    <w:bottom w:val="single" w:color="000000" w:sz="4"/>
                    <w:right w:val="single" w:color="000000" w:sz="4"/>
                  </w:tcBorders>
                </w:tcPr>
                <w:p/>
              </w:tc>
              <w:tc>
                <w:tcPr>
                  <w:tcW w:type="dxa" w:w="35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态势显示</w:t>
                  </w:r>
                </w:p>
              </w:tc>
              <w:tc>
                <w:tcPr>
                  <w:tcW w:type="dxa" w:w="163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color w:val="000000"/>
                    </w:rPr>
                    <w:t>1、具备态势显示功能，支持实时任务、动态数据、设备位置</w:t>
                  </w:r>
                  <w:r>
                    <w:rPr>
                      <w:rFonts w:ascii="宋体" w:hAnsi="宋体" w:cs="宋体" w:eastAsia="宋体"/>
                      <w:sz w:val="20"/>
                      <w:color w:val="000000"/>
                    </w:rPr>
                    <w:t>、</w:t>
                  </w:r>
                  <w:r>
                    <w:rPr>
                      <w:rFonts w:ascii="宋体" w:hAnsi="宋体" w:cs="宋体" w:eastAsia="宋体"/>
                      <w:sz w:val="20"/>
                      <w:color w:val="000000"/>
                    </w:rPr>
                    <w:t>地图态势、机场态势、飞行态势、气象数据、飞行仪表盘等信息；</w:t>
                  </w:r>
                </w:p>
                <w:p>
                  <w:pPr>
                    <w:pStyle w:val="null3"/>
                    <w:jc w:val="left"/>
                  </w:pPr>
                  <w:r>
                    <w:rPr>
                      <w:rFonts w:ascii="宋体" w:hAnsi="宋体" w:cs="宋体" w:eastAsia="宋体"/>
                      <w:sz w:val="20"/>
                      <w:color w:val="000000"/>
                    </w:rPr>
                    <w:t>2、支持通过设备列表快速下发任务；</w:t>
                  </w:r>
                </w:p>
                <w:p>
                  <w:pPr>
                    <w:pStyle w:val="null3"/>
                    <w:jc w:val="left"/>
                  </w:pPr>
                  <w:r>
                    <w:rPr>
                      <w:rFonts w:ascii="宋体" w:hAnsi="宋体" w:cs="宋体" w:eastAsia="宋体"/>
                      <w:sz w:val="20"/>
                      <w:color w:val="000000"/>
                    </w:rPr>
                    <w:t>3、支持移动端加入直播；</w:t>
                  </w:r>
                </w:p>
                <w:p>
                  <w:pPr>
                    <w:pStyle w:val="null3"/>
                    <w:jc w:val="left"/>
                  </w:pPr>
                  <w:r>
                    <w:rPr>
                      <w:rFonts w:ascii="宋体" w:hAnsi="宋体" w:cs="宋体" w:eastAsia="宋体"/>
                      <w:sz w:val="20"/>
                      <w:color w:val="000000"/>
                    </w:rPr>
                    <w:t>4、具备机场、飞行轨迹、高程信息、移动端及素材信息</w:t>
                  </w:r>
                  <w:r>
                    <w:rPr>
                      <w:rFonts w:ascii="宋体" w:hAnsi="宋体" w:cs="宋体" w:eastAsia="宋体"/>
                      <w:sz w:val="20"/>
                      <w:color w:val="000000"/>
                    </w:rPr>
                    <w:t>等要素</w:t>
                  </w:r>
                  <w:r>
                    <w:rPr>
                      <w:rFonts w:ascii="宋体" w:hAnsi="宋体" w:cs="宋体" w:eastAsia="宋体"/>
                      <w:sz w:val="20"/>
                      <w:color w:val="000000"/>
                    </w:rPr>
                    <w:t>筛</w:t>
                  </w:r>
                  <w:r>
                    <w:rPr>
                      <w:rFonts w:ascii="宋体" w:hAnsi="宋体" w:cs="宋体" w:eastAsia="宋体"/>
                      <w:sz w:val="20"/>
                      <w:color w:val="000000"/>
                    </w:rPr>
                    <w:t>选及</w:t>
                  </w:r>
                  <w:r>
                    <w:rPr>
                      <w:rFonts w:ascii="宋体" w:hAnsi="宋体" w:cs="宋体" w:eastAsia="宋体"/>
                      <w:sz w:val="20"/>
                      <w:color w:val="000000"/>
                    </w:rPr>
                    <w:t>同步上图</w:t>
                  </w:r>
                  <w:r>
                    <w:rPr>
                      <w:rFonts w:ascii="宋体" w:hAnsi="宋体" w:cs="宋体" w:eastAsia="宋体"/>
                      <w:sz w:val="20"/>
                      <w:color w:val="000000"/>
                    </w:rPr>
                    <w:t>；</w:t>
                  </w:r>
                </w:p>
              </w:tc>
              <w:tc>
                <w:tcPr>
                  <w:tcW w:type="dxa" w:w="2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套</w:t>
                  </w:r>
                </w:p>
              </w:tc>
              <w:tc>
                <w:tcPr>
                  <w:tcW w:type="dxa" w:w="23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1</w:t>
                  </w:r>
                </w:p>
              </w:tc>
            </w:tr>
            <w:tr>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17</w:t>
                  </w:r>
                </w:p>
              </w:tc>
              <w:tc>
                <w:tcPr>
                  <w:tcW w:type="dxa" w:w="384"/>
                  <w:vMerge/>
                  <w:tcBorders>
                    <w:top w:val="none" w:color="000000" w:sz="4"/>
                    <w:left w:val="single" w:color="000000" w:sz="4"/>
                    <w:bottom w:val="single" w:color="000000" w:sz="4"/>
                    <w:right w:val="single" w:color="000000" w:sz="4"/>
                  </w:tcBorders>
                </w:tcPr>
                <w:p/>
              </w:tc>
              <w:tc>
                <w:tcPr>
                  <w:tcW w:type="dxa" w:w="35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远程控制</w:t>
                  </w:r>
                </w:p>
              </w:tc>
              <w:tc>
                <w:tcPr>
                  <w:tcW w:type="dxa" w:w="163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color w:val="000000"/>
                    </w:rPr>
                    <w:t>1、支持对机场无人机进行远程控制；</w:t>
                  </w:r>
                </w:p>
                <w:p>
                  <w:pPr>
                    <w:pStyle w:val="null3"/>
                    <w:jc w:val="left"/>
                  </w:pPr>
                  <w:r>
                    <w:rPr>
                      <w:rFonts w:ascii="宋体" w:hAnsi="宋体" w:cs="宋体" w:eastAsia="宋体"/>
                      <w:sz w:val="20"/>
                      <w:color w:val="000000"/>
                    </w:rPr>
                    <w:t>2、</w:t>
                  </w:r>
                  <w:r>
                    <w:rPr>
                      <w:rFonts w:ascii="宋体" w:hAnsi="宋体" w:cs="宋体" w:eastAsia="宋体"/>
                      <w:sz w:val="20"/>
                      <w:color w:val="000000"/>
                    </w:rPr>
                    <w:t>支持远程控制，包括</w:t>
                  </w:r>
                  <w:r>
                    <w:rPr>
                      <w:rFonts w:ascii="宋体" w:hAnsi="宋体" w:cs="宋体" w:eastAsia="宋体"/>
                      <w:sz w:val="20"/>
                      <w:color w:val="000000"/>
                    </w:rPr>
                    <w:t>镜头负载切换、避障查看、远程</w:t>
                  </w:r>
                  <w:r>
                    <w:rPr>
                      <w:rFonts w:ascii="宋体" w:hAnsi="宋体" w:cs="宋体" w:eastAsia="宋体"/>
                      <w:sz w:val="20"/>
                      <w:color w:val="000000"/>
                    </w:rPr>
                    <w:t>查看、关联场景等。</w:t>
                  </w:r>
                </w:p>
              </w:tc>
              <w:tc>
                <w:tcPr>
                  <w:tcW w:type="dxa" w:w="2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套</w:t>
                  </w:r>
                </w:p>
              </w:tc>
              <w:tc>
                <w:tcPr>
                  <w:tcW w:type="dxa" w:w="23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1</w:t>
                  </w:r>
                </w:p>
              </w:tc>
            </w:tr>
            <w:tr>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18</w:t>
                  </w:r>
                </w:p>
              </w:tc>
              <w:tc>
                <w:tcPr>
                  <w:tcW w:type="dxa" w:w="384"/>
                  <w:vMerge/>
                  <w:tcBorders>
                    <w:top w:val="none" w:color="000000" w:sz="4"/>
                    <w:left w:val="single" w:color="000000" w:sz="4"/>
                    <w:bottom w:val="single" w:color="000000" w:sz="4"/>
                    <w:right w:val="single" w:color="000000" w:sz="4"/>
                  </w:tcBorders>
                </w:tcPr>
                <w:p/>
              </w:tc>
              <w:tc>
                <w:tcPr>
                  <w:tcW w:type="dxa" w:w="35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素材管理</w:t>
                  </w:r>
                </w:p>
              </w:tc>
              <w:tc>
                <w:tcPr>
                  <w:tcW w:type="dxa" w:w="163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color w:val="000000"/>
                    </w:rPr>
                    <w:t>2</w:t>
                  </w:r>
                  <w:r>
                    <w:rPr>
                      <w:rFonts w:ascii="宋体" w:hAnsi="宋体" w:cs="宋体" w:eastAsia="宋体"/>
                      <w:sz w:val="20"/>
                      <w:color w:val="000000"/>
                    </w:rPr>
                    <w:t>、支持二维正射图、三维模型叠加显示电子地图；支持自定义设置三维模型清晰度；</w:t>
                  </w:r>
                </w:p>
                <w:p>
                  <w:pPr>
                    <w:pStyle w:val="null3"/>
                    <w:jc w:val="left"/>
                  </w:pPr>
                  <w:r>
                    <w:rPr>
                      <w:rFonts w:ascii="宋体" w:hAnsi="宋体" w:cs="宋体" w:eastAsia="宋体"/>
                      <w:sz w:val="20"/>
                      <w:color w:val="000000"/>
                    </w:rPr>
                    <w:t>1</w:t>
                  </w:r>
                  <w:r>
                    <w:rPr>
                      <w:rFonts w:ascii="宋体" w:hAnsi="宋体" w:cs="宋体" w:eastAsia="宋体"/>
                      <w:sz w:val="20"/>
                      <w:color w:val="000000"/>
                    </w:rPr>
                    <w:t>、支持上传二维模型</w:t>
                  </w:r>
                  <w:r>
                    <w:rPr>
                      <w:rFonts w:ascii="宋体" w:hAnsi="宋体" w:cs="宋体" w:eastAsia="宋体"/>
                      <w:sz w:val="20"/>
                      <w:color w:val="000000"/>
                    </w:rPr>
                    <w:t>及</w:t>
                  </w:r>
                  <w:r>
                    <w:rPr>
                      <w:rFonts w:ascii="宋体" w:hAnsi="宋体" w:cs="宋体" w:eastAsia="宋体"/>
                      <w:sz w:val="20"/>
                      <w:color w:val="000000"/>
                    </w:rPr>
                    <w:t>三维模型；</w:t>
                  </w:r>
                </w:p>
                <w:p>
                  <w:pPr>
                    <w:pStyle w:val="null3"/>
                    <w:jc w:val="left"/>
                  </w:pPr>
                  <w:r>
                    <w:rPr>
                      <w:rFonts w:ascii="宋体" w:hAnsi="宋体" w:cs="宋体" w:eastAsia="宋体"/>
                      <w:sz w:val="20"/>
                      <w:color w:val="000000"/>
                    </w:rPr>
                    <w:t>3、支持对二维素材展示</w:t>
                  </w:r>
                  <w:r>
                    <w:rPr>
                      <w:rFonts w:ascii="宋体" w:hAnsi="宋体" w:cs="宋体" w:eastAsia="宋体"/>
                      <w:sz w:val="20"/>
                      <w:color w:val="000000"/>
                    </w:rPr>
                    <w:t>及</w:t>
                  </w:r>
                  <w:r>
                    <w:rPr>
                      <w:rFonts w:ascii="宋体" w:hAnsi="宋体" w:cs="宋体" w:eastAsia="宋体"/>
                      <w:sz w:val="20"/>
                      <w:color w:val="000000"/>
                    </w:rPr>
                    <w:t>距离测量、面积测量等空间分析。</w:t>
                  </w:r>
                </w:p>
                <w:p>
                  <w:pPr>
                    <w:pStyle w:val="null3"/>
                    <w:jc w:val="left"/>
                  </w:pPr>
                  <w:r>
                    <w:rPr>
                      <w:rFonts w:ascii="宋体" w:hAnsi="宋体" w:cs="宋体" w:eastAsia="宋体"/>
                      <w:sz w:val="20"/>
                      <w:color w:val="000000"/>
                    </w:rPr>
                    <w:t>4、支持平移、视角调节、旋转</w:t>
                  </w:r>
                  <w:r>
                    <w:rPr>
                      <w:rFonts w:ascii="宋体" w:hAnsi="宋体" w:cs="宋体" w:eastAsia="宋体"/>
                      <w:sz w:val="20"/>
                      <w:color w:val="000000"/>
                    </w:rPr>
                    <w:t>等</w:t>
                  </w:r>
                  <w:r>
                    <w:rPr>
                      <w:rFonts w:ascii="宋体" w:hAnsi="宋体" w:cs="宋体" w:eastAsia="宋体"/>
                      <w:sz w:val="20"/>
                      <w:color w:val="000000"/>
                    </w:rPr>
                    <w:t>三维模型浏览</w:t>
                  </w:r>
                  <w:r>
                    <w:rPr>
                      <w:rFonts w:ascii="宋体" w:hAnsi="宋体" w:cs="宋体" w:eastAsia="宋体"/>
                      <w:sz w:val="20"/>
                      <w:color w:val="000000"/>
                    </w:rPr>
                    <w:t>方式</w:t>
                  </w:r>
                  <w:r>
                    <w:rPr>
                      <w:rFonts w:ascii="宋体" w:hAnsi="宋体" w:cs="宋体" w:eastAsia="宋体"/>
                      <w:sz w:val="20"/>
                      <w:color w:val="000000"/>
                    </w:rPr>
                    <w:t>；</w:t>
                  </w:r>
                </w:p>
                <w:p>
                  <w:pPr>
                    <w:pStyle w:val="null3"/>
                    <w:jc w:val="left"/>
                  </w:pPr>
                  <w:r>
                    <w:rPr>
                      <w:rFonts w:ascii="宋体" w:hAnsi="宋体" w:cs="宋体" w:eastAsia="宋体"/>
                      <w:sz w:val="20"/>
                      <w:color w:val="000000"/>
                    </w:rPr>
                    <w:t>5、支持三维模型断点续传；</w:t>
                  </w:r>
                </w:p>
                <w:p>
                  <w:pPr>
                    <w:pStyle w:val="null3"/>
                    <w:jc w:val="left"/>
                  </w:pPr>
                  <w:r>
                    <w:rPr>
                      <w:rFonts w:ascii="宋体" w:hAnsi="宋体" w:cs="宋体" w:eastAsia="宋体"/>
                      <w:sz w:val="20"/>
                      <w:color w:val="000000"/>
                    </w:rPr>
                    <w:t>6、支持全景图可视化浏览</w:t>
                  </w:r>
                  <w:r>
                    <w:rPr>
                      <w:rFonts w:ascii="宋体" w:hAnsi="宋体" w:cs="宋体" w:eastAsia="宋体"/>
                      <w:sz w:val="20"/>
                      <w:color w:val="000000"/>
                    </w:rPr>
                    <w:t>，</w:t>
                  </w:r>
                  <w:r>
                    <w:rPr>
                      <w:rFonts w:ascii="宋体" w:hAnsi="宋体" w:cs="宋体" w:eastAsia="宋体"/>
                      <w:sz w:val="20"/>
                      <w:color w:val="000000"/>
                    </w:rPr>
                    <w:t>包括水平自动旋转、放大、缩小。</w:t>
                  </w:r>
                </w:p>
              </w:tc>
              <w:tc>
                <w:tcPr>
                  <w:tcW w:type="dxa" w:w="2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套</w:t>
                  </w:r>
                </w:p>
              </w:tc>
              <w:tc>
                <w:tcPr>
                  <w:tcW w:type="dxa" w:w="23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1</w:t>
                  </w:r>
                </w:p>
              </w:tc>
            </w:tr>
            <w:tr>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19</w:t>
                  </w:r>
                </w:p>
              </w:tc>
              <w:tc>
                <w:tcPr>
                  <w:tcW w:type="dxa" w:w="384"/>
                  <w:vMerge/>
                  <w:tcBorders>
                    <w:top w:val="none" w:color="000000" w:sz="4"/>
                    <w:left w:val="single" w:color="000000" w:sz="4"/>
                    <w:bottom w:val="single" w:color="000000" w:sz="4"/>
                    <w:right w:val="single" w:color="000000" w:sz="4"/>
                  </w:tcBorders>
                </w:tcPr>
                <w:p/>
              </w:tc>
              <w:tc>
                <w:tcPr>
                  <w:tcW w:type="dxa" w:w="35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机场设置</w:t>
                  </w:r>
                </w:p>
              </w:tc>
              <w:tc>
                <w:tcPr>
                  <w:tcW w:type="dxa" w:w="163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color w:val="000000"/>
                    </w:rPr>
                    <w:t>1、支持机场安全设置，基于地理信息设置多扇区可飞范围；</w:t>
                  </w:r>
                </w:p>
                <w:p>
                  <w:pPr>
                    <w:pStyle w:val="null3"/>
                    <w:jc w:val="left"/>
                  </w:pPr>
                  <w:r>
                    <w:rPr>
                      <w:rFonts w:ascii="宋体" w:hAnsi="宋体" w:cs="宋体" w:eastAsia="宋体"/>
                      <w:sz w:val="20"/>
                      <w:color w:val="000000"/>
                    </w:rPr>
                    <w:t>2</w:t>
                  </w:r>
                  <w:r>
                    <w:rPr>
                      <w:rFonts w:ascii="宋体" w:hAnsi="宋体" w:cs="宋体" w:eastAsia="宋体"/>
                      <w:sz w:val="20"/>
                      <w:color w:val="000000"/>
                    </w:rPr>
                    <w:t>、支持选择实际天气阻飞</w:t>
                  </w:r>
                  <w:r>
                    <w:rPr>
                      <w:rFonts w:ascii="宋体" w:hAnsi="宋体" w:cs="宋体" w:eastAsia="宋体"/>
                      <w:sz w:val="20"/>
                      <w:color w:val="000000"/>
                    </w:rPr>
                    <w:t>与</w:t>
                  </w:r>
                  <w:r>
                    <w:rPr>
                      <w:rFonts w:ascii="宋体" w:hAnsi="宋体" w:cs="宋体" w:eastAsia="宋体"/>
                      <w:sz w:val="20"/>
                      <w:color w:val="000000"/>
                    </w:rPr>
                    <w:t>天气预报阻飞，实际天气阻飞支持自定义风速阻飞条件、雨量阻飞条件；</w:t>
                  </w:r>
                </w:p>
                <w:p>
                  <w:pPr>
                    <w:pStyle w:val="null3"/>
                    <w:jc w:val="left"/>
                  </w:pPr>
                  <w:r>
                    <w:rPr>
                      <w:rFonts w:ascii="宋体" w:hAnsi="宋体" w:cs="宋体" w:eastAsia="宋体"/>
                      <w:sz w:val="20"/>
                      <w:color w:val="000000"/>
                    </w:rPr>
                    <w:t>3</w:t>
                  </w:r>
                  <w:r>
                    <w:rPr>
                      <w:rFonts w:ascii="宋体" w:hAnsi="宋体" w:cs="宋体" w:eastAsia="宋体"/>
                      <w:sz w:val="20"/>
                      <w:color w:val="000000"/>
                    </w:rPr>
                    <w:t>、支持监控机场状态及异常告警，支持机场无人机超时未返舱告警，支持设置告警处置动作，须包含短信提醒和系统弹窗；</w:t>
                  </w:r>
                </w:p>
                <w:p>
                  <w:pPr>
                    <w:pStyle w:val="null3"/>
                    <w:jc w:val="left"/>
                  </w:pPr>
                  <w:r>
                    <w:rPr>
                      <w:rFonts w:ascii="宋体" w:hAnsi="宋体" w:cs="宋体" w:eastAsia="宋体"/>
                      <w:sz w:val="20"/>
                      <w:color w:val="000000"/>
                    </w:rPr>
                    <w:t>4</w:t>
                  </w:r>
                  <w:r>
                    <w:rPr>
                      <w:rFonts w:ascii="宋体" w:hAnsi="宋体" w:cs="宋体" w:eastAsia="宋体"/>
                      <w:sz w:val="20"/>
                      <w:color w:val="000000"/>
                    </w:rPr>
                    <w:t>、支持机场远程调试。</w:t>
                  </w:r>
                </w:p>
              </w:tc>
              <w:tc>
                <w:tcPr>
                  <w:tcW w:type="dxa" w:w="2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套</w:t>
                  </w:r>
                </w:p>
              </w:tc>
              <w:tc>
                <w:tcPr>
                  <w:tcW w:type="dxa" w:w="23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1</w:t>
                  </w:r>
                </w:p>
              </w:tc>
            </w:tr>
            <w:tr>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20</w:t>
                  </w:r>
                </w:p>
              </w:tc>
              <w:tc>
                <w:tcPr>
                  <w:tcW w:type="dxa" w:w="384"/>
                  <w:vMerge/>
                  <w:tcBorders>
                    <w:top w:val="none" w:color="000000" w:sz="4"/>
                    <w:left w:val="single" w:color="000000" w:sz="4"/>
                    <w:bottom w:val="single" w:color="000000" w:sz="4"/>
                    <w:right w:val="single" w:color="000000" w:sz="4"/>
                  </w:tcBorders>
                </w:tcPr>
                <w:p/>
              </w:tc>
              <w:tc>
                <w:tcPr>
                  <w:tcW w:type="dxa" w:w="35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异常管理</w:t>
                  </w:r>
                </w:p>
              </w:tc>
              <w:tc>
                <w:tcPr>
                  <w:tcW w:type="dxa" w:w="163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color w:val="000000"/>
                    </w:rPr>
                    <w:t>1、支持异常数量、异常类型、异常状态、告警等级、所属组织、生成时间、告警地址、经纬度等内容</w:t>
                  </w:r>
                  <w:r>
                    <w:rPr>
                      <w:rFonts w:ascii="宋体" w:hAnsi="宋体" w:cs="宋体" w:eastAsia="宋体"/>
                      <w:sz w:val="20"/>
                      <w:color w:val="000000"/>
                    </w:rPr>
                    <w:t>管理</w:t>
                  </w:r>
                  <w:r>
                    <w:rPr>
                      <w:rFonts w:ascii="宋体" w:hAnsi="宋体" w:cs="宋体" w:eastAsia="宋体"/>
                      <w:sz w:val="20"/>
                      <w:color w:val="000000"/>
                    </w:rPr>
                    <w:t>；支持异常统计、异常查看、处置异常下发。</w:t>
                  </w:r>
                </w:p>
              </w:tc>
              <w:tc>
                <w:tcPr>
                  <w:tcW w:type="dxa" w:w="2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套</w:t>
                  </w:r>
                </w:p>
              </w:tc>
              <w:tc>
                <w:tcPr>
                  <w:tcW w:type="dxa" w:w="23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1</w:t>
                  </w:r>
                </w:p>
              </w:tc>
            </w:tr>
            <w:tr>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21</w:t>
                  </w:r>
                </w:p>
              </w:tc>
              <w:tc>
                <w:tcPr>
                  <w:tcW w:type="dxa" w:w="384"/>
                  <w:vMerge/>
                  <w:tcBorders>
                    <w:top w:val="none" w:color="000000" w:sz="4"/>
                    <w:left w:val="single" w:color="000000" w:sz="4"/>
                    <w:bottom w:val="single" w:color="000000" w:sz="4"/>
                    <w:right w:val="single" w:color="000000" w:sz="4"/>
                  </w:tcBorders>
                </w:tcPr>
                <w:p/>
              </w:tc>
              <w:tc>
                <w:tcPr>
                  <w:tcW w:type="dxa" w:w="35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事件处置</w:t>
                  </w:r>
                </w:p>
              </w:tc>
              <w:tc>
                <w:tcPr>
                  <w:tcW w:type="dxa" w:w="163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color w:val="000000"/>
                    </w:rPr>
                    <w:t>1、支持事件统计</w:t>
                  </w:r>
                  <w:r>
                    <w:rPr>
                      <w:rFonts w:ascii="宋体" w:hAnsi="宋体" w:cs="宋体" w:eastAsia="宋体"/>
                      <w:sz w:val="20"/>
                      <w:color w:val="000000"/>
                    </w:rPr>
                    <w:t>、</w:t>
                  </w:r>
                  <w:r>
                    <w:rPr>
                      <w:rFonts w:ascii="宋体" w:hAnsi="宋体" w:cs="宋体" w:eastAsia="宋体"/>
                      <w:sz w:val="20"/>
                      <w:color w:val="000000"/>
                    </w:rPr>
                    <w:t>追踪</w:t>
                  </w:r>
                  <w:r>
                    <w:rPr>
                      <w:rFonts w:ascii="宋体" w:hAnsi="宋体" w:cs="宋体" w:eastAsia="宋体"/>
                      <w:sz w:val="20"/>
                      <w:color w:val="000000"/>
                    </w:rPr>
                    <w:t>、</w:t>
                  </w:r>
                  <w:r>
                    <w:rPr>
                      <w:rFonts w:ascii="宋体" w:hAnsi="宋体" w:cs="宋体" w:eastAsia="宋体"/>
                      <w:sz w:val="20"/>
                      <w:color w:val="000000"/>
                    </w:rPr>
                    <w:t>处理</w:t>
                  </w:r>
                  <w:r>
                    <w:rPr>
                      <w:rFonts w:ascii="宋体" w:hAnsi="宋体" w:cs="宋体" w:eastAsia="宋体"/>
                      <w:sz w:val="20"/>
                      <w:color w:val="000000"/>
                    </w:rPr>
                    <w:t>等管理功能</w:t>
                  </w:r>
                  <w:r>
                    <w:rPr>
                      <w:rFonts w:ascii="宋体" w:hAnsi="宋体" w:cs="宋体" w:eastAsia="宋体"/>
                      <w:sz w:val="20"/>
                      <w:color w:val="000000"/>
                    </w:rPr>
                    <w:t>。</w:t>
                  </w:r>
                </w:p>
                <w:p>
                  <w:pPr>
                    <w:pStyle w:val="null3"/>
                    <w:jc w:val="left"/>
                  </w:pPr>
                  <w:r>
                    <w:rPr>
                      <w:rFonts w:ascii="宋体" w:hAnsi="宋体" w:cs="宋体" w:eastAsia="宋体"/>
                      <w:sz w:val="20"/>
                      <w:color w:val="000000"/>
                    </w:rPr>
                    <w:t>2</w:t>
                  </w:r>
                  <w:r>
                    <w:rPr>
                      <w:rFonts w:ascii="宋体" w:hAnsi="宋体" w:cs="宋体" w:eastAsia="宋体"/>
                      <w:sz w:val="20"/>
                      <w:color w:val="000000"/>
                    </w:rPr>
                    <w:t>、支持自定义系统内系统名称</w:t>
                  </w:r>
                  <w:r>
                    <w:rPr>
                      <w:rFonts w:ascii="宋体" w:hAnsi="宋体" w:cs="宋体" w:eastAsia="宋体"/>
                      <w:sz w:val="20"/>
                      <w:color w:val="000000"/>
                    </w:rPr>
                    <w:t>，其中</w:t>
                  </w:r>
                  <w:r>
                    <w:rPr>
                      <w:rFonts w:ascii="宋体" w:hAnsi="宋体" w:cs="宋体" w:eastAsia="宋体"/>
                      <w:sz w:val="20"/>
                      <w:color w:val="000000"/>
                    </w:rPr>
                    <w:t>人员管理支持角色管理、账号管理、职位管理，支持用户角色、菜单权限及数据权限的自定义。</w:t>
                  </w:r>
                </w:p>
              </w:tc>
              <w:tc>
                <w:tcPr>
                  <w:tcW w:type="dxa" w:w="2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套</w:t>
                  </w:r>
                </w:p>
              </w:tc>
              <w:tc>
                <w:tcPr>
                  <w:tcW w:type="dxa" w:w="23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1</w:t>
                  </w:r>
                </w:p>
              </w:tc>
            </w:tr>
            <w:tr>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22</w:t>
                  </w:r>
                </w:p>
              </w:tc>
              <w:tc>
                <w:tcPr>
                  <w:tcW w:type="dxa" w:w="384"/>
                  <w:vMerge/>
                  <w:tcBorders>
                    <w:top w:val="none" w:color="000000" w:sz="4"/>
                    <w:left w:val="single" w:color="000000" w:sz="4"/>
                    <w:bottom w:val="single" w:color="000000" w:sz="4"/>
                    <w:right w:val="single" w:color="000000" w:sz="4"/>
                  </w:tcBorders>
                </w:tcPr>
                <w:p/>
              </w:tc>
              <w:tc>
                <w:tcPr>
                  <w:tcW w:type="dxa" w:w="35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系统对接</w:t>
                  </w:r>
                </w:p>
              </w:tc>
              <w:tc>
                <w:tcPr>
                  <w:tcW w:type="dxa" w:w="163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color w:val="000000"/>
                    </w:rPr>
                    <w:t>1、</w:t>
                  </w:r>
                  <w:r>
                    <w:rPr>
                      <w:rFonts w:ascii="宋体" w:hAnsi="宋体" w:cs="宋体" w:eastAsia="宋体"/>
                      <w:sz w:val="20"/>
                      <w:color w:val="000000"/>
                    </w:rPr>
                    <w:t>支持</w:t>
                  </w:r>
                  <w:r>
                    <w:rPr>
                      <w:rFonts w:ascii="宋体" w:hAnsi="宋体" w:cs="宋体" w:eastAsia="宋体"/>
                      <w:sz w:val="20"/>
                      <w:color w:val="000000"/>
                    </w:rPr>
                    <w:t>GB/T28181无人机视频</w:t>
                  </w:r>
                  <w:r>
                    <w:rPr>
                      <w:rFonts w:ascii="宋体" w:hAnsi="宋体" w:cs="宋体" w:eastAsia="宋体"/>
                      <w:sz w:val="20"/>
                      <w:color w:val="000000"/>
                    </w:rPr>
                    <w:t>接入平台并</w:t>
                  </w:r>
                  <w:r>
                    <w:rPr>
                      <w:rFonts w:ascii="宋体" w:hAnsi="宋体" w:cs="宋体" w:eastAsia="宋体"/>
                      <w:sz w:val="20"/>
                      <w:color w:val="000000"/>
                    </w:rPr>
                    <w:t>流推送至第三方系统；</w:t>
                  </w:r>
                </w:p>
                <w:p>
                  <w:pPr>
                    <w:pStyle w:val="null3"/>
                    <w:jc w:val="left"/>
                  </w:pPr>
                  <w:r>
                    <w:rPr>
                      <w:rFonts w:ascii="宋体" w:hAnsi="宋体" w:cs="宋体" w:eastAsia="宋体"/>
                      <w:sz w:val="20"/>
                      <w:color w:val="000000"/>
                    </w:rPr>
                    <w:t>2、</w:t>
                  </w:r>
                  <w:r>
                    <w:rPr>
                      <w:rFonts w:ascii="宋体" w:hAnsi="宋体" w:cs="宋体" w:eastAsia="宋体"/>
                      <w:sz w:val="20"/>
                      <w:color w:val="000000"/>
                    </w:rPr>
                    <w:t>支持</w:t>
                  </w:r>
                  <w:r>
                    <w:rPr>
                      <w:rFonts w:ascii="宋体" w:hAnsi="宋体" w:cs="宋体" w:eastAsia="宋体"/>
                      <w:sz w:val="20"/>
                      <w:color w:val="000000"/>
                    </w:rPr>
                    <w:t>RTMP无人机视频入流推送至第三方系统；</w:t>
                  </w:r>
                </w:p>
                <w:p>
                  <w:pPr>
                    <w:pStyle w:val="null3"/>
                    <w:jc w:val="left"/>
                  </w:pPr>
                  <w:r>
                    <w:rPr>
                      <w:rFonts w:ascii="宋体" w:hAnsi="宋体" w:cs="宋体" w:eastAsia="宋体"/>
                      <w:sz w:val="20"/>
                      <w:color w:val="000000"/>
                    </w:rPr>
                    <w:t>3</w:t>
                  </w:r>
                  <w:r>
                    <w:rPr>
                      <w:rFonts w:ascii="宋体" w:hAnsi="宋体" w:cs="宋体" w:eastAsia="宋体"/>
                      <w:sz w:val="20"/>
                      <w:color w:val="000000"/>
                    </w:rPr>
                    <w:t>、支持通过</w:t>
                  </w:r>
                  <w:r>
                    <w:rPr>
                      <w:rFonts w:ascii="宋体" w:hAnsi="宋体" w:cs="宋体" w:eastAsia="宋体"/>
                      <w:sz w:val="20"/>
                      <w:color w:val="000000"/>
                    </w:rPr>
                    <w:t>API接口对接，实现无人机设备列表、无人机实时数据、巡检记录详情、RTMP直播流地址等信息的对外开放，</w:t>
                  </w:r>
                  <w:r>
                    <w:rPr>
                      <w:rFonts w:ascii="宋体" w:hAnsi="宋体" w:cs="宋体" w:eastAsia="宋体"/>
                      <w:sz w:val="20"/>
                      <w:color w:val="000000"/>
                    </w:rPr>
                    <w:t>支持</w:t>
                  </w:r>
                  <w:r>
                    <w:rPr>
                      <w:rFonts w:ascii="宋体" w:hAnsi="宋体" w:cs="宋体" w:eastAsia="宋体"/>
                      <w:sz w:val="20"/>
                      <w:color w:val="000000"/>
                    </w:rPr>
                    <w:t>二次开发。</w:t>
                  </w:r>
                </w:p>
              </w:tc>
              <w:tc>
                <w:tcPr>
                  <w:tcW w:type="dxa" w:w="2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套</w:t>
                  </w:r>
                </w:p>
              </w:tc>
              <w:tc>
                <w:tcPr>
                  <w:tcW w:type="dxa" w:w="23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1</w:t>
                  </w:r>
                </w:p>
              </w:tc>
            </w:tr>
            <w:tr>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23</w:t>
                  </w:r>
                </w:p>
              </w:tc>
              <w:tc>
                <w:tcPr>
                  <w:tcW w:type="dxa" w:w="384"/>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林业局巡查指挥系统（巡查巡检模块定制开发）</w:t>
                  </w:r>
                </w:p>
              </w:tc>
              <w:tc>
                <w:tcPr>
                  <w:tcW w:type="dxa" w:w="35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AI算法</w:t>
                  </w:r>
                </w:p>
              </w:tc>
              <w:tc>
                <w:tcPr>
                  <w:tcW w:type="dxa" w:w="163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color w:val="000000"/>
                    </w:rPr>
                    <w:t>1、可见光</w:t>
                  </w:r>
                  <w:r>
                    <w:rPr>
                      <w:rFonts w:ascii="宋体" w:hAnsi="宋体" w:cs="宋体" w:eastAsia="宋体"/>
                      <w:sz w:val="20"/>
                      <w:color w:val="000000"/>
                    </w:rPr>
                    <w:t>及红外</w:t>
                  </w:r>
                  <w:r>
                    <w:rPr>
                      <w:rFonts w:ascii="宋体" w:hAnsi="宋体" w:cs="宋体" w:eastAsia="宋体"/>
                      <w:sz w:val="20"/>
                      <w:color w:val="000000"/>
                    </w:rPr>
                    <w:t>车辆识别：</w:t>
                  </w:r>
                  <w:r>
                    <w:rPr>
                      <w:rFonts w:ascii="宋体" w:hAnsi="宋体" w:cs="宋体" w:eastAsia="宋体"/>
                      <w:sz w:val="20"/>
                      <w:color w:val="000000"/>
                    </w:rPr>
                    <w:t>具备</w:t>
                  </w:r>
                  <w:r>
                    <w:rPr>
                      <w:rFonts w:ascii="宋体" w:hAnsi="宋体" w:cs="宋体" w:eastAsia="宋体"/>
                      <w:sz w:val="20"/>
                      <w:color w:val="000000"/>
                    </w:rPr>
                    <w:t>车辆标记、数量统计；数量超出</w:t>
                  </w:r>
                  <w:r>
                    <w:rPr>
                      <w:rFonts w:ascii="宋体" w:hAnsi="宋体" w:cs="宋体" w:eastAsia="宋体"/>
                      <w:sz w:val="20"/>
                      <w:color w:val="000000"/>
                    </w:rPr>
                    <w:t>阈值</w:t>
                  </w:r>
                  <w:r>
                    <w:rPr>
                      <w:rFonts w:ascii="宋体" w:hAnsi="宋体" w:cs="宋体" w:eastAsia="宋体"/>
                      <w:sz w:val="20"/>
                      <w:color w:val="000000"/>
                    </w:rPr>
                    <w:t>告警</w:t>
                  </w:r>
                  <w:r>
                    <w:rPr>
                      <w:rFonts w:ascii="宋体" w:hAnsi="宋体" w:cs="宋体" w:eastAsia="宋体"/>
                      <w:sz w:val="20"/>
                      <w:color w:val="000000"/>
                    </w:rPr>
                    <w:t>能力</w:t>
                  </w:r>
                  <w:r>
                    <w:rPr>
                      <w:rFonts w:ascii="宋体" w:hAnsi="宋体" w:cs="宋体" w:eastAsia="宋体"/>
                      <w:sz w:val="20"/>
                      <w:color w:val="000000"/>
                    </w:rPr>
                    <w:t>；告警方式支持声音告警、弹窗告警、截图；</w:t>
                  </w:r>
                </w:p>
                <w:p>
                  <w:pPr>
                    <w:pStyle w:val="null3"/>
                    <w:jc w:val="left"/>
                  </w:pPr>
                  <w:r>
                    <w:rPr>
                      <w:rFonts w:ascii="宋体" w:hAnsi="宋体" w:cs="宋体" w:eastAsia="宋体"/>
                      <w:sz w:val="20"/>
                      <w:color w:val="000000"/>
                    </w:rPr>
                    <w:t>2、可见光</w:t>
                  </w:r>
                  <w:r>
                    <w:rPr>
                      <w:rFonts w:ascii="宋体" w:hAnsi="宋体" w:cs="宋体" w:eastAsia="宋体"/>
                      <w:sz w:val="20"/>
                      <w:color w:val="000000"/>
                    </w:rPr>
                    <w:t>及红外</w:t>
                  </w:r>
                  <w:r>
                    <w:rPr>
                      <w:rFonts w:ascii="宋体" w:hAnsi="宋体" w:cs="宋体" w:eastAsia="宋体"/>
                      <w:sz w:val="20"/>
                      <w:color w:val="000000"/>
                    </w:rPr>
                    <w:t>人员识别：</w:t>
                  </w:r>
                  <w:r>
                    <w:rPr>
                      <w:rFonts w:ascii="宋体" w:hAnsi="宋体" w:cs="宋体" w:eastAsia="宋体"/>
                      <w:sz w:val="20"/>
                      <w:color w:val="000000"/>
                    </w:rPr>
                    <w:t>具备</w:t>
                  </w:r>
                  <w:r>
                    <w:rPr>
                      <w:rFonts w:ascii="宋体" w:hAnsi="宋体" w:cs="宋体" w:eastAsia="宋体"/>
                      <w:sz w:val="20"/>
                      <w:color w:val="000000"/>
                    </w:rPr>
                    <w:t>人员标记、数量统计。人员数量超阈值告警</w:t>
                  </w:r>
                  <w:r>
                    <w:rPr>
                      <w:rFonts w:ascii="宋体" w:hAnsi="宋体" w:cs="宋体" w:eastAsia="宋体"/>
                      <w:sz w:val="20"/>
                      <w:color w:val="000000"/>
                    </w:rPr>
                    <w:t>能力</w:t>
                  </w:r>
                  <w:r>
                    <w:rPr>
                      <w:rFonts w:ascii="宋体" w:hAnsi="宋体" w:cs="宋体" w:eastAsia="宋体"/>
                      <w:sz w:val="20"/>
                      <w:color w:val="000000"/>
                    </w:rPr>
                    <w:t>；告警方式支持声音告警、弹窗告警、截图；</w:t>
                  </w:r>
                </w:p>
                <w:p>
                  <w:pPr>
                    <w:pStyle w:val="null3"/>
                    <w:jc w:val="left"/>
                  </w:pPr>
                  <w:r>
                    <w:rPr>
                      <w:rFonts w:ascii="宋体" w:hAnsi="宋体" w:cs="宋体" w:eastAsia="宋体"/>
                      <w:sz w:val="20"/>
                      <w:color w:val="000000"/>
                    </w:rPr>
                    <w:t>3、可见光</w:t>
                  </w:r>
                  <w:r>
                    <w:rPr>
                      <w:rFonts w:ascii="宋体" w:hAnsi="宋体" w:cs="宋体" w:eastAsia="宋体"/>
                      <w:sz w:val="20"/>
                      <w:color w:val="000000"/>
                    </w:rPr>
                    <w:t>及红外</w:t>
                  </w:r>
                  <w:r>
                    <w:rPr>
                      <w:rFonts w:ascii="宋体" w:hAnsi="宋体" w:cs="宋体" w:eastAsia="宋体"/>
                      <w:sz w:val="20"/>
                      <w:color w:val="000000"/>
                    </w:rPr>
                    <w:t>烟火识别：</w:t>
                  </w:r>
                  <w:r>
                    <w:rPr>
                      <w:rFonts w:ascii="宋体" w:hAnsi="宋体" w:cs="宋体" w:eastAsia="宋体"/>
                      <w:sz w:val="20"/>
                      <w:color w:val="000000"/>
                    </w:rPr>
                    <w:t>具备</w:t>
                  </w:r>
                  <w:r>
                    <w:rPr>
                      <w:rFonts w:ascii="宋体" w:hAnsi="宋体" w:cs="宋体" w:eastAsia="宋体"/>
                      <w:sz w:val="20"/>
                      <w:color w:val="000000"/>
                    </w:rPr>
                    <w:t>烟火检测识别、标记，识别烟火告警</w:t>
                  </w:r>
                  <w:r>
                    <w:rPr>
                      <w:rFonts w:ascii="宋体" w:hAnsi="宋体" w:cs="宋体" w:eastAsia="宋体"/>
                      <w:sz w:val="20"/>
                      <w:color w:val="000000"/>
                    </w:rPr>
                    <w:t>能力</w:t>
                  </w:r>
                  <w:r>
                    <w:rPr>
                      <w:rFonts w:ascii="宋体" w:hAnsi="宋体" w:cs="宋体" w:eastAsia="宋体"/>
                      <w:sz w:val="20"/>
                      <w:color w:val="000000"/>
                    </w:rPr>
                    <w:t>；</w:t>
                  </w:r>
                </w:p>
              </w:tc>
              <w:tc>
                <w:tcPr>
                  <w:tcW w:type="dxa" w:w="2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套</w:t>
                  </w:r>
                </w:p>
              </w:tc>
              <w:tc>
                <w:tcPr>
                  <w:tcW w:type="dxa" w:w="23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1</w:t>
                  </w:r>
                </w:p>
              </w:tc>
            </w:tr>
            <w:tr>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24</w:t>
                  </w:r>
                </w:p>
              </w:tc>
              <w:tc>
                <w:tcPr>
                  <w:tcW w:type="dxa" w:w="384"/>
                  <w:vMerge/>
                  <w:tcBorders>
                    <w:top w:val="none" w:color="000000" w:sz="4"/>
                    <w:left w:val="single" w:color="000000" w:sz="4"/>
                    <w:bottom w:val="single" w:color="000000" w:sz="4"/>
                    <w:right w:val="single" w:color="000000" w:sz="4"/>
                  </w:tcBorders>
                </w:tcPr>
                <w:p/>
              </w:tc>
              <w:tc>
                <w:tcPr>
                  <w:tcW w:type="dxa" w:w="35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告警设置</w:t>
                  </w:r>
                </w:p>
              </w:tc>
              <w:tc>
                <w:tcPr>
                  <w:tcW w:type="dxa" w:w="163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color w:val="000000"/>
                    </w:rPr>
                    <w:t>1、支持告警设置，告警处置支持选择声音</w:t>
                  </w:r>
                  <w:r>
                    <w:rPr>
                      <w:rFonts w:ascii="宋体" w:hAnsi="宋体" w:cs="宋体" w:eastAsia="宋体"/>
                      <w:sz w:val="20"/>
                      <w:color w:val="000000"/>
                    </w:rPr>
                    <w:t>多阶段可调</w:t>
                  </w:r>
                  <w:r>
                    <w:rPr>
                      <w:rFonts w:ascii="宋体" w:hAnsi="宋体" w:cs="宋体" w:eastAsia="宋体"/>
                      <w:sz w:val="20"/>
                      <w:color w:val="000000"/>
                    </w:rPr>
                    <w:t>、截图和弹窗方式，</w:t>
                  </w:r>
                </w:p>
                <w:p>
                  <w:pPr>
                    <w:pStyle w:val="null3"/>
                    <w:jc w:val="left"/>
                  </w:pPr>
                  <w:r>
                    <w:rPr>
                      <w:rFonts w:ascii="宋体" w:hAnsi="宋体" w:cs="宋体" w:eastAsia="宋体"/>
                      <w:sz w:val="20"/>
                      <w:color w:val="000000"/>
                    </w:rPr>
                    <w:t>2、支持不少于4种告警声音选择，声音大小可调。</w:t>
                  </w:r>
                </w:p>
              </w:tc>
              <w:tc>
                <w:tcPr>
                  <w:tcW w:type="dxa" w:w="2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套</w:t>
                  </w:r>
                </w:p>
              </w:tc>
              <w:tc>
                <w:tcPr>
                  <w:tcW w:type="dxa" w:w="23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1</w:t>
                  </w:r>
                </w:p>
              </w:tc>
            </w:tr>
            <w:tr>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25</w:t>
                  </w:r>
                </w:p>
              </w:tc>
              <w:tc>
                <w:tcPr>
                  <w:tcW w:type="dxa" w:w="74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服务器算力中心</w:t>
                  </w:r>
                </w:p>
              </w:tc>
              <w:tc>
                <w:tcPr>
                  <w:tcW w:type="dxa" w:w="163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color w:val="000000"/>
                    </w:rPr>
                    <w:t>4U机位</w:t>
                  </w:r>
                </w:p>
                <w:p>
                  <w:pPr>
                    <w:pStyle w:val="null3"/>
                    <w:jc w:val="left"/>
                  </w:pPr>
                  <w:r>
                    <w:rPr>
                      <w:rFonts w:ascii="宋体" w:hAnsi="宋体" w:cs="宋体" w:eastAsia="宋体"/>
                      <w:sz w:val="20"/>
                      <w:color w:val="000000"/>
                    </w:rPr>
                    <w:t>300M带宽</w:t>
                  </w:r>
                </w:p>
                <w:p>
                  <w:pPr>
                    <w:pStyle w:val="null3"/>
                    <w:jc w:val="left"/>
                  </w:pPr>
                  <w:r>
                    <w:rPr>
                      <w:rFonts w:ascii="宋体" w:hAnsi="宋体" w:cs="宋体" w:eastAsia="宋体"/>
                      <w:sz w:val="20"/>
                      <w:color w:val="000000"/>
                    </w:rPr>
                    <w:t>公网</w:t>
                  </w:r>
                  <w:r>
                    <w:rPr>
                      <w:rFonts w:ascii="宋体" w:hAnsi="宋体" w:cs="宋体" w:eastAsia="宋体"/>
                      <w:sz w:val="20"/>
                      <w:color w:val="000000"/>
                    </w:rPr>
                    <w:t>IP地址</w:t>
                  </w:r>
                </w:p>
                <w:p>
                  <w:pPr>
                    <w:pStyle w:val="null3"/>
                    <w:jc w:val="left"/>
                  </w:pPr>
                  <w:r>
                    <w:rPr>
                      <w:rFonts w:ascii="宋体" w:hAnsi="宋体" w:cs="宋体" w:eastAsia="宋体"/>
                      <w:sz w:val="20"/>
                      <w:color w:val="000000"/>
                    </w:rPr>
                    <w:t>服务器重启、重装操作系统、插拔内存、插拔硬盘、配置</w:t>
                  </w:r>
                  <w:r>
                    <w:rPr>
                      <w:rFonts w:ascii="宋体" w:hAnsi="宋体" w:cs="宋体" w:eastAsia="宋体"/>
                      <w:sz w:val="20"/>
                      <w:color w:val="000000"/>
                    </w:rPr>
                    <w:t>IP地址、上下架等服务</w:t>
                  </w:r>
                </w:p>
              </w:tc>
              <w:tc>
                <w:tcPr>
                  <w:tcW w:type="dxa" w:w="2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年</w:t>
                  </w:r>
                </w:p>
              </w:tc>
              <w:tc>
                <w:tcPr>
                  <w:tcW w:type="dxa" w:w="23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3</w:t>
                  </w:r>
                </w:p>
              </w:tc>
            </w:tr>
            <w:tr>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注：</w:t>
                  </w:r>
                </w:p>
              </w:tc>
              <w:tc>
                <w:tcPr>
                  <w:tcW w:type="dxa" w:w="2891"/>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19"/>
                    </w:rPr>
                    <w:t>本项目包括一次性无人机机场套装采购，设备保险和设备保养服务采购、无人机智能森林巡查指挥系统定制开发，服务期三年。</w:t>
                  </w:r>
                </w:p>
              </w:tc>
            </w:tr>
          </w:tbl>
          <w:p/>
        </w:tc>
      </w:tr>
    </w:tbl>
    <w:p>
      <w:pPr>
        <w:pStyle w:val="null3"/>
        <w:outlineLvl w:val="2"/>
      </w:pPr>
      <w:r>
        <w:rPr>
          <w:sz w:val="28"/>
          <w:b/>
        </w:rPr>
        <w:t>3.4商务要求</w:t>
      </w:r>
    </w:p>
    <w:p>
      <w:pPr>
        <w:pStyle w:val="null3"/>
        <w:outlineLvl w:val="3"/>
      </w:pPr>
      <w:r>
        <w:rPr>
          <w:sz w:val="24"/>
          <w:b/>
        </w:rPr>
        <w:t xml:space="preserve"> 3.4.1交货时间</w:t>
      </w:r>
    </w:p>
    <w:p>
      <w:pPr>
        <w:pStyle w:val="null3"/>
      </w:pPr>
      <w:r>
        <w:rPr/>
        <w:t>采购包1：</w:t>
      </w:r>
    </w:p>
    <w:p>
      <w:pPr>
        <w:pStyle w:val="null3"/>
      </w:pPr>
      <w:r>
        <w:rPr/>
        <w:t>合同签订后30日</w:t>
      </w:r>
    </w:p>
    <w:p>
      <w:pPr>
        <w:pStyle w:val="null3"/>
        <w:outlineLvl w:val="3"/>
      </w:pPr>
      <w:r>
        <w:rPr>
          <w:sz w:val="24"/>
          <w:b/>
        </w:rPr>
        <w:t>3.4.2交货地点</w:t>
      </w:r>
    </w:p>
    <w:p>
      <w:pPr>
        <w:pStyle w:val="null3"/>
      </w:pPr>
      <w:r>
        <w:rPr/>
        <w:t>采购包1：</w:t>
      </w:r>
    </w:p>
    <w:p>
      <w:pPr>
        <w:pStyle w:val="null3"/>
      </w:pPr>
      <w:r>
        <w:rPr/>
        <w:t>采购人指定的服务地点</w:t>
      </w:r>
    </w:p>
    <w:p>
      <w:pPr>
        <w:pStyle w:val="null3"/>
        <w:outlineLvl w:val="3"/>
      </w:pPr>
      <w:r>
        <w:rPr>
          <w:sz w:val="24"/>
          <w:b/>
        </w:rPr>
        <w:t>3.4.3支付方式</w:t>
      </w:r>
    </w:p>
    <w:p>
      <w:pPr>
        <w:pStyle w:val="null3"/>
      </w:pPr>
      <w:r>
        <w:rPr/>
        <w:t>采购包1：</w:t>
      </w:r>
    </w:p>
    <w:p>
      <w:pPr>
        <w:pStyle w:val="null3"/>
      </w:pPr>
      <w:r>
        <w:rPr/>
        <w:t>分期付款</w:t>
      </w:r>
    </w:p>
    <w:p>
      <w:pPr>
        <w:pStyle w:val="null3"/>
        <w:outlineLvl w:val="3"/>
      </w:pPr>
      <w:r>
        <w:rPr>
          <w:sz w:val="24"/>
          <w:b/>
        </w:rPr>
        <w:t>3.4.4支付约定</w:t>
      </w:r>
    </w:p>
    <w:p>
      <w:pPr>
        <w:pStyle w:val="null3"/>
      </w:pPr>
      <w:r>
        <w:rPr/>
        <w:t>采购包1：</w:t>
      </w:r>
      <w:r>
        <w:rPr/>
        <w:t xml:space="preserve"> 付款条件说明： </w:t>
      </w:r>
      <w:r>
        <w:rPr/>
        <w:t>项目验收合格后</w:t>
      </w:r>
      <w:r>
        <w:rPr/>
        <w:t xml:space="preserve"> ，达到付款条件起 </w:t>
      </w:r>
      <w:r>
        <w:rPr/>
        <w:t>7</w:t>
      </w:r>
      <w:r>
        <w:rPr/>
        <w:t xml:space="preserve"> 日内，支付合同总金额的 </w:t>
      </w:r>
      <w:r>
        <w:rPr/>
        <w:t>90.00</w:t>
      </w:r>
      <w:r>
        <w:rPr/>
        <w:t>%。</w:t>
      </w:r>
    </w:p>
    <w:p>
      <w:pPr>
        <w:pStyle w:val="null3"/>
      </w:pPr>
      <w:r>
        <w:rPr/>
        <w:t>采购包1：</w:t>
      </w:r>
      <w:r>
        <w:rPr/>
        <w:t xml:space="preserve"> 付款条件说明： </w:t>
      </w:r>
      <w:r>
        <w:rPr/>
        <w:t>三年服务期满后</w:t>
      </w:r>
      <w:r>
        <w:rPr/>
        <w:t xml:space="preserve"> ，达到付款条件起 </w:t>
      </w:r>
      <w:r>
        <w:rPr/>
        <w:t>7</w:t>
      </w:r>
      <w:r>
        <w:rPr/>
        <w:t xml:space="preserve"> 日内，支付合同总金额的 </w:t>
      </w:r>
      <w:r>
        <w:rPr/>
        <w:t>10.00</w:t>
      </w:r>
      <w:r>
        <w:rPr/>
        <w:t>%。</w:t>
      </w:r>
    </w:p>
    <w:p>
      <w:pPr>
        <w:pStyle w:val="null3"/>
        <w:outlineLvl w:val="3"/>
      </w:pPr>
      <w:r>
        <w:rPr>
          <w:sz w:val="24"/>
          <w:b/>
        </w:rPr>
        <w:t>3.4.5验收标准和方法</w:t>
      </w:r>
    </w:p>
    <w:p>
      <w:pPr>
        <w:pStyle w:val="null3"/>
      </w:pPr>
      <w:r>
        <w:rPr/>
        <w:t>采购包1：</w:t>
      </w:r>
    </w:p>
    <w:p>
      <w:pPr>
        <w:pStyle w:val="null3"/>
      </w:pPr>
      <w:r>
        <w:rPr/>
        <w:t>供应商需提供详细的验收方案和细则，并结合招标文件、业主要求参数及实际飞行情况进行验收，同时满足国家相关规范、规定要求。</w:t>
      </w:r>
    </w:p>
    <w:p>
      <w:pPr>
        <w:pStyle w:val="null3"/>
        <w:outlineLvl w:val="3"/>
      </w:pPr>
      <w:r>
        <w:rPr>
          <w:sz w:val="24"/>
          <w:b/>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sz w:val="24"/>
          <w:b/>
        </w:rPr>
        <w:t>3.4.7质量保修范围和保修期</w:t>
      </w:r>
    </w:p>
    <w:p>
      <w:pPr>
        <w:pStyle w:val="null3"/>
      </w:pPr>
      <w:r>
        <w:rPr/>
        <w:t>采购包1：</w:t>
      </w:r>
    </w:p>
    <w:p>
      <w:pPr>
        <w:pStyle w:val="null3"/>
      </w:pPr>
      <w:r>
        <w:rPr/>
        <w:t>保修范围：本项目包含的所有内容；保修期：3 年。</w:t>
      </w:r>
    </w:p>
    <w:p>
      <w:pPr>
        <w:pStyle w:val="null3"/>
        <w:outlineLvl w:val="3"/>
      </w:pPr>
      <w:r>
        <w:rPr>
          <w:sz w:val="24"/>
          <w:b/>
        </w:rPr>
        <w:t>3.4.8违约责任与解决争议的方法</w:t>
      </w:r>
    </w:p>
    <w:p>
      <w:pPr>
        <w:pStyle w:val="null3"/>
      </w:pPr>
      <w:r>
        <w:rPr/>
        <w:t>采购包1：</w:t>
      </w:r>
    </w:p>
    <w:p>
      <w:pPr>
        <w:pStyle w:val="null3"/>
      </w:pPr>
      <w:r>
        <w:rPr/>
        <w:t>在买方对卖方违约而采取的任何补救措施不受影响的情况下，买方可向卖方发出书面违约通知书，提出终止部分或全部合同：（1）如果卖方未能在合同规定的期限内或买方根据规定同意延长的期限内提供部分或全部货物，或误期赔偿费达到最高限额。 （2）如果卖方未能履行合同规定的其它任何义务。 （3）如果买方认为卖方在本合同的竞争和实施过程中有腐败和欺诈行为。为此目的，定义下述条件：“腐败行为”是指提供、给予、接受或索取任何有价值的物品来影响买 方在采购过程或合同实施过程中的行为。 “欺诈行为”是指为了影响采购过程或合同实施过程而谎报或隐瞒事实，损害买方利益的行为。 因执行本合同所发生的或与本合同有关的一切争议, 双方应通过友好协商解决。如果协商开始后六十天还不能解决，双方可依以下一种方式解决： 1、双方达成仲裁协议，向约定的仲裁委员会申请仲裁。 2、向有管辖权的人民法院起诉。</w:t>
      </w:r>
    </w:p>
    <w:p>
      <w:pPr>
        <w:pStyle w:val="null3"/>
        <w:jc w:val="left"/>
        <w:outlineLvl w:val="2"/>
      </w:pPr>
      <w:r>
        <w:rPr>
          <w:sz w:val="28"/>
          <w:b/>
        </w:rPr>
        <w:t>3.5其他要求</w:t>
      </w:r>
    </w:p>
    <w:p>
      <w:pPr>
        <w:pStyle w:val="null3"/>
      </w:pPr>
      <w:r>
        <w:rPr/>
        <w:t>1、设备保养要求：每台设备每半年保养1次，包括对设备进行深度清洁、部件检测、易损件更换、升级校准、核心部件更换等服务。 2、供应商在投标报价内应包含本项目所涉及到的流量费、宽带费、保养费、保险费等可能产生的所有费用。</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t>资格审查标准及要求如下：</w:t>
      </w:r>
    </w:p>
    <w:p>
      <w:pPr>
        <w:pStyle w:val="null3"/>
        <w:outlineLvl w:val="2"/>
      </w:pPr>
      <w:r>
        <w:rPr>
          <w:sz w:val="28"/>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投标人应提交的相关资格证明材料</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投标人应提交的相关资格证明材料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w:t>
            </w:r>
          </w:p>
        </w:tc>
      </w:tr>
    </w:tbl>
    <w:p>
      <w:pPr>
        <w:pStyle w:val="null3"/>
        <w:outlineLvl w:val="2"/>
      </w:pPr>
      <w:r>
        <w:rPr>
          <w:sz w:val="28"/>
          <w:b/>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身份证明</w:t>
            </w:r>
          </w:p>
        </w:tc>
        <w:tc>
          <w:tcPr>
            <w:tcW w:type="dxa" w:w="3322"/>
          </w:tcPr>
          <w:p>
            <w:pPr>
              <w:pStyle w:val="null3"/>
            </w:pPr>
            <w:r>
              <w:rPr/>
              <w:t>法定代表人（主要负责人）委托代理人参加投标时，应提供法定代表人（主要负责人）委托授权书；法定代表人（主要负责人）亲自参加投标时，应提供法定代表人（主要负责人）身份证明书；</w:t>
            </w:r>
          </w:p>
        </w:tc>
        <w:tc>
          <w:tcPr>
            <w:tcW w:type="dxa" w:w="1661"/>
          </w:tcPr>
          <w:p>
            <w:pPr>
              <w:pStyle w:val="null3"/>
            </w:pPr>
            <w:r>
              <w:rPr/>
              <w:t>投标函 投标人应提交的相关资格证明材料</w:t>
            </w:r>
          </w:p>
        </w:tc>
      </w:tr>
      <w:tr>
        <w:tc>
          <w:tcPr>
            <w:tcW w:type="dxa" w:w="831"/>
          </w:tcPr>
          <w:p>
            <w:pPr>
              <w:pStyle w:val="null3"/>
            </w:pPr>
            <w:r>
              <w:rPr/>
              <w:t>2</w:t>
            </w:r>
          </w:p>
        </w:tc>
        <w:tc>
          <w:tcPr>
            <w:tcW w:type="dxa" w:w="2492"/>
          </w:tcPr>
          <w:p>
            <w:pPr>
              <w:pStyle w:val="null3"/>
            </w:pPr>
            <w:r>
              <w:rPr/>
              <w:t>财务状况报告</w:t>
            </w:r>
          </w:p>
        </w:tc>
        <w:tc>
          <w:tcPr>
            <w:tcW w:type="dxa" w:w="3322"/>
          </w:tcPr>
          <w:p>
            <w:pPr>
              <w:pStyle w:val="null3"/>
            </w:pPr>
            <w:r>
              <w:rPr/>
              <w:t>①提交2023年度经审计的财务会计报告（至少包括审计报告、资产负债表、现金流量表和利润表，成立时间至提交响应文件截止时间不足一年的可提供成立后任意时段的资产负债表）②提交响应文件截止时间三个月内其基本账户开户银行出具的资信证明；备注：以上两种形式的资料提供任何一种即可；</w:t>
            </w:r>
          </w:p>
        </w:tc>
        <w:tc>
          <w:tcPr>
            <w:tcW w:type="dxa" w:w="1661"/>
          </w:tcPr>
          <w:p>
            <w:pPr>
              <w:pStyle w:val="null3"/>
            </w:pPr>
            <w:r>
              <w:rPr/>
              <w:t>投标函 投标人应提交的相关资格证明材料</w:t>
            </w:r>
          </w:p>
        </w:tc>
      </w:tr>
      <w:tr>
        <w:tc>
          <w:tcPr>
            <w:tcW w:type="dxa" w:w="831"/>
          </w:tcPr>
          <w:p>
            <w:pPr>
              <w:pStyle w:val="null3"/>
            </w:pPr>
            <w:r>
              <w:rPr/>
              <w:t>3</w:t>
            </w:r>
          </w:p>
        </w:tc>
        <w:tc>
          <w:tcPr>
            <w:tcW w:type="dxa" w:w="2492"/>
          </w:tcPr>
          <w:p>
            <w:pPr>
              <w:pStyle w:val="null3"/>
            </w:pPr>
            <w:r>
              <w:rPr/>
              <w:t>税收缴纳证明</w:t>
            </w:r>
          </w:p>
        </w:tc>
        <w:tc>
          <w:tcPr>
            <w:tcW w:type="dxa" w:w="3322"/>
          </w:tcPr>
          <w:p>
            <w:pPr>
              <w:pStyle w:val="null3"/>
            </w:pPr>
            <w:r>
              <w:rPr/>
              <w:t>提交响应文件截止时间前一年内至少一个月的纳税证明或完税证明，纳税证明或完税证明上应有代收机构或税务机关的公章或业务专用章。（依法免税的供应商应提供相应文件证明）</w:t>
            </w:r>
          </w:p>
        </w:tc>
        <w:tc>
          <w:tcPr>
            <w:tcW w:type="dxa" w:w="1661"/>
          </w:tcPr>
          <w:p>
            <w:pPr>
              <w:pStyle w:val="null3"/>
            </w:pPr>
            <w:r>
              <w:rPr/>
              <w:t>投标函 投标人应提交的相关资格证明材料</w:t>
            </w:r>
          </w:p>
        </w:tc>
      </w:tr>
      <w:tr>
        <w:tc>
          <w:tcPr>
            <w:tcW w:type="dxa" w:w="831"/>
          </w:tcPr>
          <w:p>
            <w:pPr>
              <w:pStyle w:val="null3"/>
            </w:pPr>
            <w:r>
              <w:rPr/>
              <w:t>4</w:t>
            </w:r>
          </w:p>
        </w:tc>
        <w:tc>
          <w:tcPr>
            <w:tcW w:type="dxa" w:w="2492"/>
          </w:tcPr>
          <w:p>
            <w:pPr>
              <w:pStyle w:val="null3"/>
            </w:pPr>
            <w:r>
              <w:rPr/>
              <w:t>社会保障缴纳证明</w:t>
            </w:r>
          </w:p>
        </w:tc>
        <w:tc>
          <w:tcPr>
            <w:tcW w:type="dxa" w:w="3322"/>
          </w:tcPr>
          <w:p>
            <w:pPr>
              <w:pStyle w:val="null3"/>
            </w:pPr>
            <w:r>
              <w:rPr/>
              <w:t>提交响应文件截止时间前一年内至少一个月的社会保障资金缴存单据或社保机构开具的社会保险参保缴费情况证明，单据或证明上应有社保机构或代收机构的公章或业务专用章。（依法不需要缴纳社会保障资金的供应商应提供相应文件证明）；</w:t>
            </w:r>
          </w:p>
        </w:tc>
        <w:tc>
          <w:tcPr>
            <w:tcW w:type="dxa" w:w="1661"/>
          </w:tcPr>
          <w:p>
            <w:pPr>
              <w:pStyle w:val="null3"/>
            </w:pPr>
            <w:r>
              <w:rPr/>
              <w:t>投标函 投标人应提交的相关资格证明材料</w:t>
            </w:r>
          </w:p>
        </w:tc>
      </w:tr>
      <w:tr>
        <w:tc>
          <w:tcPr>
            <w:tcW w:type="dxa" w:w="831"/>
          </w:tcPr>
          <w:p>
            <w:pPr>
              <w:pStyle w:val="null3"/>
            </w:pPr>
            <w:r>
              <w:rPr/>
              <w:t>5</w:t>
            </w:r>
          </w:p>
        </w:tc>
        <w:tc>
          <w:tcPr>
            <w:tcW w:type="dxa" w:w="2492"/>
          </w:tcPr>
          <w:p>
            <w:pPr>
              <w:pStyle w:val="null3"/>
            </w:pPr>
            <w:r>
              <w:rPr/>
              <w:t>控股关系证明</w:t>
            </w:r>
          </w:p>
        </w:tc>
        <w:tc>
          <w:tcPr>
            <w:tcW w:type="dxa" w:w="3322"/>
          </w:tcPr>
          <w:p>
            <w:pPr>
              <w:pStyle w:val="null3"/>
            </w:pPr>
            <w:r>
              <w:rPr/>
              <w:t>单位负责人为同一人或者存在直接控股、管理关系的不同供应商，不得参加同一合同项下的政府采购活动。</w:t>
            </w:r>
          </w:p>
        </w:tc>
        <w:tc>
          <w:tcPr>
            <w:tcW w:type="dxa" w:w="1661"/>
          </w:tcPr>
          <w:p>
            <w:pPr>
              <w:pStyle w:val="null3"/>
            </w:pPr>
            <w:r>
              <w:rPr/>
              <w:t>投标函 投标人应提交的相关资格证明材料</w:t>
            </w:r>
          </w:p>
        </w:tc>
      </w:tr>
    </w:tbl>
    <w:p>
      <w:pPr>
        <w:pStyle w:val="null3"/>
        <w:outlineLvl w:val="2"/>
      </w:pPr>
      <w:r>
        <w:rPr>
          <w:sz w:val="28"/>
          <w:b/>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w:t>
            </w:r>
          </w:p>
        </w:tc>
        <w:tc>
          <w:tcPr>
            <w:tcW w:type="dxa" w:w="3322"/>
          </w:tcPr>
          <w:p>
            <w:pPr>
              <w:pStyle w:val="null3"/>
            </w:pPr>
            <w:r>
              <w:rPr/>
              <w:t>/</w:t>
            </w:r>
          </w:p>
        </w:tc>
        <w:tc>
          <w:tcPr>
            <w:tcW w:type="dxa" w:w="1661"/>
          </w:tcPr>
          <w:p>
            <w:pPr>
              <w:pStyle w:val="null3"/>
            </w:pPr>
            <w:r>
              <w:rPr/>
              <w:t>中小企业声明函 残疾人福利性单位声明函 监狱企业的证明文件</w:t>
            </w:r>
          </w:p>
        </w:tc>
      </w:tr>
    </w:tbl>
    <w:p>
      <w:pPr>
        <w:pStyle w:val="null3"/>
      </w:pPr>
      <w:r>
        <w:rPr/>
        <w:t xml:space="preserve"> </w:t>
        <w:br/>
        <w:br w:type="page"/>
      </w:r>
    </w:p>
    <w:p>
      <w:pPr>
        <w:pStyle w:val="null3"/>
        <w:jc w:val="center"/>
        <w:outlineLvl w:val="1"/>
      </w:pPr>
      <w:r>
        <w:rPr>
          <w:sz w:val="36"/>
          <w:b/>
        </w:rPr>
        <w:t>第五章 评标办法</w:t>
      </w:r>
    </w:p>
    <w:p>
      <w:pPr>
        <w:pStyle w:val="null3"/>
        <w:outlineLvl w:val="2"/>
      </w:pPr>
      <w:r>
        <w:rPr>
          <w:sz w:val="28"/>
          <w:b/>
        </w:rPr>
        <w:t>5.1总则</w:t>
      </w:r>
    </w:p>
    <w:p>
      <w:pPr>
        <w:pStyle w:val="null3"/>
        <w:ind w:firstLine="480"/>
      </w:pPr>
      <w:r>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t xml:space="preserve"> 二、评标工作由代理机构负责组织，具体评标事务由采购人或代理机构依法组建的评标委员会负责。评标委员会由采购人代表和评审专家组成。</w:t>
      </w:r>
    </w:p>
    <w:p>
      <w:pPr>
        <w:pStyle w:val="null3"/>
        <w:ind w:firstLine="480"/>
      </w:pPr>
      <w:r>
        <w:rPr/>
        <w:t>三、评标工作应遵循公平、公正、科学及择优的原则，并以相同的评标程序和标准对待所有的投标人。</w:t>
      </w:r>
    </w:p>
    <w:p>
      <w:pPr>
        <w:pStyle w:val="null3"/>
        <w:ind w:firstLine="480"/>
      </w:pPr>
      <w:r>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sz w:val="28"/>
          <w:b/>
        </w:rPr>
        <w:t>5.2评标委员会</w:t>
      </w:r>
    </w:p>
    <w:p>
      <w:pPr>
        <w:pStyle w:val="null3"/>
        <w:ind w:firstLine="480"/>
      </w:pPr>
      <w:r>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t>四、评标委员会按照招标文件规定的评标程序、评标方法和标准进行评标，并独立履行下列职责：</w:t>
      </w:r>
    </w:p>
    <w:p>
      <w:pPr>
        <w:pStyle w:val="null3"/>
        <w:ind w:firstLine="480"/>
      </w:pPr>
      <w:r>
        <w:rPr/>
        <w:t>（一）熟悉和理解招标文件；</w:t>
      </w:r>
    </w:p>
    <w:p>
      <w:pPr>
        <w:pStyle w:val="null3"/>
        <w:ind w:firstLine="480"/>
      </w:pPr>
      <w:r>
        <w:rPr/>
        <w:t>（二）审查供应商投标文件等是否满足招标文件要求，并作出评价；</w:t>
      </w:r>
    </w:p>
    <w:p>
      <w:pPr>
        <w:pStyle w:val="null3"/>
        <w:ind w:firstLine="480"/>
      </w:pPr>
      <w:r>
        <w:rPr/>
        <w:t xml:space="preserve"> （三）根据需要要求采购组织单位对招标文件作出解释；根据需要要求供应商对投标文件有关事项作出澄清、说明或者更正；</w:t>
      </w:r>
    </w:p>
    <w:p>
      <w:pPr>
        <w:pStyle w:val="null3"/>
        <w:ind w:firstLine="480"/>
      </w:pPr>
      <w:r>
        <w:rPr/>
        <w:t>（四）推荐中标候选供应商，或者受采购人委托确定中标供应商；</w:t>
      </w:r>
    </w:p>
    <w:p>
      <w:pPr>
        <w:pStyle w:val="null3"/>
        <w:ind w:firstLine="480"/>
      </w:pPr>
      <w:r>
        <w:rPr/>
        <w:t>（五）起草评标报告并进行签署；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5.3 评标方法</w:t>
      </w:r>
    </w:p>
    <w:p>
      <w:pPr>
        <w:pStyle w:val="null3"/>
      </w:pPr>
      <w:r>
        <w:rPr/>
        <w:t>采购包1：综合评分法</w:t>
      </w:r>
    </w:p>
    <w:p>
      <w:pPr>
        <w:pStyle w:val="null3"/>
        <w:outlineLvl w:val="2"/>
      </w:pPr>
      <w:r>
        <w:rPr>
          <w:sz w:val="28"/>
          <w:b/>
        </w:rPr>
        <w:t>5.4评标程序</w:t>
      </w:r>
    </w:p>
    <w:p>
      <w:pPr>
        <w:pStyle w:val="null3"/>
        <w:outlineLvl w:val="3"/>
      </w:pPr>
      <w:r>
        <w:rPr>
          <w:sz w:val="24"/>
          <w:b/>
        </w:rPr>
        <w:t xml:space="preserve"> 5.4.1熟悉和理解招标文件和停止评标</w:t>
      </w:r>
    </w:p>
    <w:p>
      <w:pPr>
        <w:pStyle w:val="null3"/>
        <w:ind w:firstLine="480"/>
      </w:pPr>
      <w:r>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t>二、本招标文件有下列情形之一的，评标委员会应当停止评标：</w:t>
      </w:r>
    </w:p>
    <w:p>
      <w:pPr>
        <w:pStyle w:val="null3"/>
        <w:ind w:firstLine="480"/>
      </w:pPr>
      <w:r>
        <w:rPr/>
        <w:t>（一）招标文件的规定存在歧义、重大缺陷的；</w:t>
      </w:r>
    </w:p>
    <w:p>
      <w:pPr>
        <w:pStyle w:val="null3"/>
        <w:ind w:firstLine="480"/>
      </w:pPr>
      <w:r>
        <w:rPr/>
        <w:t>（二）招标文件明显以不合理条件对供应商实行差别待遇或者歧视待遇的；</w:t>
      </w:r>
    </w:p>
    <w:p>
      <w:pPr>
        <w:pStyle w:val="null3"/>
        <w:ind w:firstLine="480"/>
      </w:pPr>
      <w:r>
        <w:rPr/>
        <w:t>（三）采购项目属于国家规定的优先、强制采购范围，但是招标文件未依法体现优先、强制采购相关规定的；</w:t>
      </w:r>
    </w:p>
    <w:p>
      <w:pPr>
        <w:pStyle w:val="null3"/>
        <w:ind w:firstLine="480"/>
      </w:pPr>
      <w:r>
        <w:rPr/>
        <w:t>（四）采购项目属于政府采购促进中小企业发展的范围，但是招标文件未依法体现促进中小企业发展相关规定的；</w:t>
      </w:r>
    </w:p>
    <w:p>
      <w:pPr>
        <w:pStyle w:val="null3"/>
        <w:ind w:firstLine="480"/>
      </w:pPr>
      <w:r>
        <w:rPr/>
        <w:t xml:space="preserve"> （五）招标文件规定的评标方法是综合评分法、最低评标价法之外的评标方法，或者虽然名称为综合评分法、最低评标价法，但实际上不符合国家规定；</w:t>
      </w:r>
    </w:p>
    <w:p>
      <w:pPr>
        <w:pStyle w:val="null3"/>
        <w:ind w:firstLine="480"/>
      </w:pPr>
      <w:r>
        <w:rPr/>
        <w:t>（六）招标文件将投标人的资格条件列为评分因素的；</w:t>
      </w:r>
    </w:p>
    <w:p>
      <w:pPr>
        <w:pStyle w:val="null3"/>
        <w:ind w:firstLine="480"/>
      </w:pPr>
      <w:r>
        <w:rPr/>
        <w:t>（七）招标文件有违反国家其他有关强制性规定的情形。</w:t>
      </w:r>
    </w:p>
    <w:p>
      <w:pPr>
        <w:pStyle w:val="null3"/>
        <w:ind w:firstLine="480"/>
      </w:pPr>
      <w:r>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sz w:val="24"/>
          <w:b/>
        </w:rPr>
        <w:t>5.4.2符合性审查</w:t>
      </w:r>
    </w:p>
    <w:p>
      <w:pPr>
        <w:pStyle w:val="null3"/>
        <w:ind w:firstLine="480"/>
      </w:pPr>
      <w:r>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t xml:space="preserve"> 在符合性审查过程中，如果出现评标委员会成员意见不一致的情况，按照少数服从多数的原则确定，但不得违背政府采购基本原则和招标文件规定。</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标的清单</w:t>
            </w:r>
          </w:p>
        </w:tc>
      </w:tr>
      <w:tr>
        <w:tc>
          <w:tcPr>
            <w:tcW w:type="dxa" w:w="831"/>
          </w:tcPr>
          <w:p>
            <w:pPr>
              <w:pStyle w:val="null3"/>
            </w:pPr>
            <w:r>
              <w:rPr/>
              <w:t>2</w:t>
            </w:r>
          </w:p>
        </w:tc>
        <w:tc>
          <w:tcPr>
            <w:tcW w:type="dxa" w:w="2492"/>
          </w:tcPr>
          <w:p>
            <w:pPr>
              <w:pStyle w:val="null3"/>
            </w:pPr>
            <w:r>
              <w:rPr/>
              <w:t>开标一览表</w:t>
            </w:r>
          </w:p>
        </w:tc>
        <w:tc>
          <w:tcPr>
            <w:tcW w:type="dxa" w:w="3322"/>
          </w:tcPr>
          <w:p>
            <w:pPr>
              <w:pStyle w:val="null3"/>
            </w:pPr>
            <w:r>
              <w:rPr/>
              <w:t>格式、填写要求符合招标文件规定并加盖投标人电子签章</w:t>
            </w:r>
          </w:p>
        </w:tc>
        <w:tc>
          <w:tcPr>
            <w:tcW w:type="dxa" w:w="1661"/>
          </w:tcPr>
          <w:p>
            <w:pPr>
              <w:pStyle w:val="null3"/>
            </w:pPr>
            <w:r>
              <w:rPr/>
              <w:t>开标一览表</w:t>
            </w:r>
          </w:p>
        </w:tc>
      </w:tr>
      <w:tr>
        <w:tc>
          <w:tcPr>
            <w:tcW w:type="dxa" w:w="831"/>
          </w:tcPr>
          <w:p>
            <w:pPr>
              <w:pStyle w:val="null3"/>
            </w:pPr>
            <w:r>
              <w:rPr/>
              <w:t>3</w:t>
            </w:r>
          </w:p>
        </w:tc>
        <w:tc>
          <w:tcPr>
            <w:tcW w:type="dxa" w:w="2492"/>
          </w:tcPr>
          <w:p>
            <w:pPr>
              <w:pStyle w:val="null3"/>
            </w:pPr>
            <w:r>
              <w:rPr/>
              <w:t>投标函</w:t>
            </w:r>
          </w:p>
        </w:tc>
        <w:tc>
          <w:tcPr>
            <w:tcW w:type="dxa" w:w="3322"/>
          </w:tcPr>
          <w:p>
            <w:pPr>
              <w:pStyle w:val="null3"/>
            </w:pPr>
            <w:r>
              <w:rPr/>
              <w:t>格式、填写要求符合招标文件规定并加盖投标人电子签章</w:t>
            </w:r>
          </w:p>
        </w:tc>
        <w:tc>
          <w:tcPr>
            <w:tcW w:type="dxa" w:w="1661"/>
          </w:tcPr>
          <w:p>
            <w:pPr>
              <w:pStyle w:val="null3"/>
            </w:pPr>
            <w:r>
              <w:rPr/>
              <w:t>投标函</w:t>
            </w:r>
          </w:p>
        </w:tc>
      </w:tr>
      <w:tr>
        <w:tc>
          <w:tcPr>
            <w:tcW w:type="dxa" w:w="831"/>
          </w:tcPr>
          <w:p>
            <w:pPr>
              <w:pStyle w:val="null3"/>
            </w:pPr>
            <w:r>
              <w:rPr/>
              <w:t>4</w:t>
            </w:r>
          </w:p>
        </w:tc>
        <w:tc>
          <w:tcPr>
            <w:tcW w:type="dxa" w:w="2492"/>
          </w:tcPr>
          <w:p>
            <w:pPr>
              <w:pStyle w:val="null3"/>
            </w:pPr>
            <w:r>
              <w:rPr/>
              <w:t>商务响应情况</w:t>
            </w:r>
          </w:p>
        </w:tc>
        <w:tc>
          <w:tcPr>
            <w:tcW w:type="dxa" w:w="3322"/>
          </w:tcPr>
          <w:p>
            <w:pPr>
              <w:pStyle w:val="null3"/>
            </w:pPr>
            <w:r>
              <w:rPr/>
              <w:t>符合招标文件采购需求中对付款方式、供货及安装期限、供货及安装地点、免费质保期的要求。</w:t>
            </w:r>
          </w:p>
        </w:tc>
        <w:tc>
          <w:tcPr>
            <w:tcW w:type="dxa" w:w="1661"/>
          </w:tcPr>
          <w:p>
            <w:pPr>
              <w:pStyle w:val="null3"/>
            </w:pPr>
            <w:r>
              <w:rPr/>
              <w:t>商务应答表</w:t>
            </w:r>
          </w:p>
        </w:tc>
      </w:tr>
      <w:tr>
        <w:tc>
          <w:tcPr>
            <w:tcW w:type="dxa" w:w="831"/>
          </w:tcPr>
          <w:p>
            <w:pPr>
              <w:pStyle w:val="null3"/>
            </w:pPr>
            <w:r>
              <w:rPr/>
              <w:t>5</w:t>
            </w:r>
          </w:p>
        </w:tc>
        <w:tc>
          <w:tcPr>
            <w:tcW w:type="dxa" w:w="2492"/>
          </w:tcPr>
          <w:p>
            <w:pPr>
              <w:pStyle w:val="null3"/>
            </w:pPr>
            <w:r>
              <w:rPr/>
              <w:t>授权书</w:t>
            </w:r>
          </w:p>
        </w:tc>
        <w:tc>
          <w:tcPr>
            <w:tcW w:type="dxa" w:w="3322"/>
          </w:tcPr>
          <w:p>
            <w:pPr>
              <w:pStyle w:val="null3"/>
            </w:pPr>
            <w:r>
              <w:rPr/>
              <w:t>符合招标文件规定并加盖投标人电子签</w:t>
            </w:r>
          </w:p>
        </w:tc>
        <w:tc>
          <w:tcPr>
            <w:tcW w:type="dxa" w:w="1661"/>
          </w:tcPr>
          <w:p>
            <w:pPr>
              <w:pStyle w:val="null3"/>
            </w:pPr>
            <w:r>
              <w:rPr/>
              <w:t>投标人应提交的相关资格证明材料</w:t>
            </w:r>
          </w:p>
        </w:tc>
      </w:tr>
      <w:tr>
        <w:tc>
          <w:tcPr>
            <w:tcW w:type="dxa" w:w="831"/>
          </w:tcPr>
          <w:p>
            <w:pPr>
              <w:pStyle w:val="null3"/>
            </w:pPr>
            <w:r>
              <w:rPr/>
              <w:t>6</w:t>
            </w:r>
          </w:p>
        </w:tc>
        <w:tc>
          <w:tcPr>
            <w:tcW w:type="dxa" w:w="2492"/>
          </w:tcPr>
          <w:p>
            <w:pPr>
              <w:pStyle w:val="null3"/>
            </w:pPr>
            <w:r>
              <w:rPr/>
              <w:t>投标响应文件</w:t>
            </w:r>
          </w:p>
        </w:tc>
        <w:tc>
          <w:tcPr>
            <w:tcW w:type="dxa" w:w="3322"/>
          </w:tcPr>
          <w:p>
            <w:pPr>
              <w:pStyle w:val="null3"/>
            </w:pPr>
            <w:r>
              <w:rPr/>
              <w:t>格式、填写要求符合招标文件规定并加盖投标人电子签章</w:t>
            </w:r>
          </w:p>
        </w:tc>
        <w:tc>
          <w:tcPr>
            <w:tcW w:type="dxa" w:w="1661"/>
          </w:tcPr>
          <w:p>
            <w:pPr>
              <w:pStyle w:val="null3"/>
            </w:pPr>
            <w:r>
              <w:rPr/>
              <w:t>实施方案</w:t>
            </w:r>
          </w:p>
        </w:tc>
      </w:tr>
      <w:tr>
        <w:tc>
          <w:tcPr>
            <w:tcW w:type="dxa" w:w="831"/>
          </w:tcPr>
          <w:p>
            <w:pPr>
              <w:pStyle w:val="null3"/>
            </w:pPr>
            <w:r>
              <w:rPr/>
              <w:t>7</w:t>
            </w:r>
          </w:p>
        </w:tc>
        <w:tc>
          <w:tcPr>
            <w:tcW w:type="dxa" w:w="2492"/>
          </w:tcPr>
          <w:p>
            <w:pPr>
              <w:pStyle w:val="null3"/>
            </w:pPr>
            <w:r>
              <w:rPr/>
              <w:t>投标报价</w:t>
            </w:r>
          </w:p>
        </w:tc>
        <w:tc>
          <w:tcPr>
            <w:tcW w:type="dxa" w:w="3322"/>
          </w:tcPr>
          <w:p>
            <w:pPr>
              <w:pStyle w:val="null3"/>
            </w:pPr>
            <w:r>
              <w:rPr/>
              <w:t>格式、填写要求符合招标文件规定并加盖投标人电子签章</w:t>
            </w:r>
          </w:p>
        </w:tc>
        <w:tc>
          <w:tcPr>
            <w:tcW w:type="dxa" w:w="1661"/>
          </w:tcPr>
          <w:p>
            <w:pPr>
              <w:pStyle w:val="null3"/>
            </w:pPr>
            <w:r>
              <w:rPr/>
              <w:t>开标一览表</w:t>
            </w:r>
          </w:p>
        </w:tc>
      </w:tr>
      <w:tr>
        <w:tc>
          <w:tcPr>
            <w:tcW w:type="dxa" w:w="831"/>
          </w:tcPr>
          <w:p>
            <w:pPr>
              <w:pStyle w:val="null3"/>
            </w:pPr>
            <w:r>
              <w:rPr/>
              <w:t>8</w:t>
            </w:r>
          </w:p>
        </w:tc>
        <w:tc>
          <w:tcPr>
            <w:tcW w:type="dxa" w:w="2492"/>
          </w:tcPr>
          <w:p>
            <w:pPr>
              <w:pStyle w:val="null3"/>
            </w:pPr>
            <w:r>
              <w:rPr/>
              <w:t>实质性参数响应</w:t>
            </w:r>
          </w:p>
        </w:tc>
        <w:tc>
          <w:tcPr>
            <w:tcW w:type="dxa" w:w="3322"/>
          </w:tcPr>
          <w:p>
            <w:pPr>
              <w:pStyle w:val="null3"/>
            </w:pPr>
            <w:r>
              <w:rPr/>
              <w:t>符合招标文件技术参数中的要求</w:t>
            </w:r>
          </w:p>
        </w:tc>
        <w:tc>
          <w:tcPr>
            <w:tcW w:type="dxa" w:w="1661"/>
          </w:tcPr>
          <w:p>
            <w:pPr>
              <w:pStyle w:val="null3"/>
            </w:pPr>
            <w:r>
              <w:rPr/>
              <w:t>产品技术参数表 标的清单 投标文件封面 实施方案</w:t>
            </w:r>
          </w:p>
        </w:tc>
      </w:tr>
    </w:tbl>
    <w:p>
      <w:pPr>
        <w:pStyle w:val="null3"/>
        <w:ind w:firstLine="480"/>
      </w:pPr>
      <w:r>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sz w:val="24"/>
          <w:b/>
        </w:rPr>
        <w:t>5.4.3解释、澄清有关问题</w:t>
      </w:r>
    </w:p>
    <w:p>
      <w:pPr>
        <w:pStyle w:val="null3"/>
        <w:ind w:firstLine="480"/>
      </w:pPr>
      <w:r>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t>（一）投标人投标文件中不响应招标文件规定的技术参数指标和商务应答；</w:t>
      </w:r>
    </w:p>
    <w:p>
      <w:pPr>
        <w:pStyle w:val="null3"/>
        <w:ind w:firstLine="480"/>
      </w:pPr>
      <w:r>
        <w:rPr/>
        <w:t>（二）投标人投标文件中未提供的证明其是否符合招标文件资格、符合性规定要求的相关材料。</w:t>
      </w:r>
    </w:p>
    <w:p>
      <w:pPr>
        <w:pStyle w:val="null3"/>
        <w:ind w:firstLine="480"/>
      </w:pPr>
      <w:r>
        <w:rPr/>
        <w:t>（三）投标人投标文件中的材料因印刷、影印等不清晰而难以辨认的。</w:t>
      </w:r>
    </w:p>
    <w:p>
      <w:pPr>
        <w:pStyle w:val="null3"/>
        <w:ind w:firstLine="480"/>
      </w:pPr>
      <w:r>
        <w:rPr/>
        <w:t>四、投标文件报价出现下列情况的，按以下原则处理：</w:t>
      </w:r>
    </w:p>
    <w:p>
      <w:pPr>
        <w:pStyle w:val="null3"/>
        <w:ind w:firstLine="480"/>
      </w:pPr>
      <w:r>
        <w:rPr/>
        <w:t>（一）投标文件中开标一览表（报价表）内容与投标文件中相应内容不一致的，以开标一览表（报价表）为准；</w:t>
      </w:r>
    </w:p>
    <w:p>
      <w:pPr>
        <w:pStyle w:val="null3"/>
        <w:ind w:firstLine="480"/>
      </w:pPr>
      <w:r>
        <w:rPr/>
        <w:t>（二）大写金额和小写金额不一致的，以大写金额为准，但大写金额出现文字错误，导致金额无法判断的除外；</w:t>
      </w:r>
    </w:p>
    <w:p>
      <w:pPr>
        <w:pStyle w:val="null3"/>
        <w:ind w:firstLine="480"/>
      </w:pPr>
      <w:r>
        <w:rPr/>
        <w:t>（三）单价金额小数点或者百分比有明显错位的，以开标一览表总价为准，并修改单价；</w:t>
      </w:r>
    </w:p>
    <w:p>
      <w:pPr>
        <w:pStyle w:val="null3"/>
        <w:ind w:firstLine="480"/>
      </w:pPr>
      <w:r>
        <w:rPr/>
        <w:t>（四）总价金额与按单价汇总金额不一致的，以单价金额计算结果为准。</w:t>
      </w:r>
    </w:p>
    <w:p>
      <w:pPr>
        <w:pStyle w:val="null3"/>
        <w:ind w:firstLine="480"/>
      </w:pPr>
      <w:r>
        <w:rPr/>
        <w:t xml:space="preserve"> 同时出现两种以上不一致的，按照前款规定的顺序修正。修正后的报价经投标人确认后产生约束力，投标人不确认的，其投标无效。</w:t>
      </w:r>
    </w:p>
    <w:p>
      <w:pPr>
        <w:pStyle w:val="null3"/>
        <w:ind w:firstLine="480"/>
      </w:pPr>
      <w:r>
        <w:rPr/>
        <w:t>五、对不同语言文本投标文件的解释发生异议的，以中文文本为准。</w:t>
      </w:r>
    </w:p>
    <w:p>
      <w:pPr>
        <w:pStyle w:val="null3"/>
        <w:ind w:firstLine="480"/>
      </w:pPr>
      <w:r>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t>评标委员会应当积极履行澄清、说明或者更正的职责，不得滥用权力。</w:t>
      </w:r>
    </w:p>
    <w:p>
      <w:pPr>
        <w:pStyle w:val="null3"/>
        <w:outlineLvl w:val="3"/>
      </w:pPr>
      <w:r>
        <w:rPr>
          <w:sz w:val="24"/>
          <w:b/>
        </w:rPr>
        <w:t>5.4.4比较与评价</w:t>
      </w:r>
    </w:p>
    <w:p>
      <w:pPr>
        <w:pStyle w:val="null3"/>
        <w:ind w:firstLine="480"/>
      </w:pPr>
      <w:r>
        <w:rPr/>
        <w:t xml:space="preserve"> 评标委员会应当按照招标文件规定的评标细则及标准，对符合性检查合格的投标文件进行商务和技术评估，综合比较和评价。</w:t>
      </w:r>
    </w:p>
    <w:p>
      <w:pPr>
        <w:pStyle w:val="null3"/>
        <w:outlineLvl w:val="3"/>
      </w:pPr>
      <w:r>
        <w:rPr>
          <w:sz w:val="24"/>
          <w:b/>
        </w:rPr>
        <w:t xml:space="preserve"> 5.4.5复核</w:t>
      </w:r>
    </w:p>
    <w:p>
      <w:pPr>
        <w:pStyle w:val="null3"/>
        <w:ind w:firstLine="480"/>
      </w:pPr>
      <w:r>
        <w:rPr/>
        <w:t xml:space="preserve"> 评分汇总结束后，评标委员会应当进行复核，对拟推荐为中标候选供应商、报价最低、投标文件被认定为无效等进行重点复核。</w:t>
      </w:r>
    </w:p>
    <w:p>
      <w:pPr>
        <w:pStyle w:val="null3"/>
        <w:ind w:firstLine="480"/>
      </w:pPr>
      <w:r>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t>评标结果汇总完成后，除下列情形外，任何人不得修改评标结果：</w:t>
      </w:r>
    </w:p>
    <w:p>
      <w:pPr>
        <w:pStyle w:val="null3"/>
        <w:ind w:firstLine="480"/>
      </w:pPr>
      <w:r>
        <w:rPr/>
        <w:t>（一）分值汇总计算错误的；</w:t>
      </w:r>
    </w:p>
    <w:p>
      <w:pPr>
        <w:pStyle w:val="null3"/>
        <w:ind w:firstLine="480"/>
      </w:pPr>
      <w:r>
        <w:rPr/>
        <w:t>（二）分项评分超出评分标准范围的；</w:t>
      </w:r>
    </w:p>
    <w:p>
      <w:pPr>
        <w:pStyle w:val="null3"/>
        <w:ind w:firstLine="480"/>
      </w:pPr>
      <w:r>
        <w:rPr/>
        <w:t>（三）评标委员会成员对客观评审因素评分不一致的；</w:t>
      </w:r>
    </w:p>
    <w:p>
      <w:pPr>
        <w:pStyle w:val="null3"/>
        <w:ind w:firstLine="480"/>
      </w:pPr>
      <w:r>
        <w:rPr/>
        <w:t>（四）经评标委员会认定评分畸高、畸低的。</w:t>
      </w:r>
    </w:p>
    <w:p>
      <w:pPr>
        <w:pStyle w:val="null3"/>
        <w:ind w:firstLine="480"/>
      </w:pPr>
      <w:r>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sz w:val="24"/>
          <w:b/>
        </w:rPr>
        <w:t>5.4.6确定中标候选人名单</w:t>
      </w:r>
    </w:p>
    <w:p>
      <w:pPr>
        <w:pStyle w:val="null3"/>
      </w:pPr>
      <w:r>
        <w:rPr/>
        <w:t>采购包1：</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sz w:val="24"/>
          <w:b/>
        </w:rPr>
        <w:t>5.4.7编写评标报告</w:t>
      </w:r>
    </w:p>
    <w:p>
      <w:pPr>
        <w:pStyle w:val="null3"/>
        <w:ind w:firstLine="480"/>
      </w:pPr>
      <w:r>
        <w:rPr/>
        <w:t>评标报告是评标委员会根据全体评标成员签字的评标记录和评标结果编写的报告，其主要内容包括：</w:t>
      </w:r>
    </w:p>
    <w:p>
      <w:pPr>
        <w:pStyle w:val="null3"/>
        <w:ind w:firstLine="480"/>
      </w:pPr>
      <w:r>
        <w:rPr/>
        <w:t>一、招标公告刊登的媒体名称、开标日期和地点；</w:t>
      </w:r>
    </w:p>
    <w:p>
      <w:pPr>
        <w:pStyle w:val="null3"/>
        <w:ind w:firstLine="480"/>
      </w:pPr>
      <w:r>
        <w:rPr/>
        <w:t>二、投标人名单和评标委员会成员名单；</w:t>
      </w:r>
    </w:p>
    <w:p>
      <w:pPr>
        <w:pStyle w:val="null3"/>
        <w:ind w:firstLine="480"/>
      </w:pPr>
      <w:r>
        <w:rPr/>
        <w:t>三、评审方法和标准；</w:t>
      </w:r>
    </w:p>
    <w:p>
      <w:pPr>
        <w:pStyle w:val="null3"/>
        <w:ind w:firstLine="480"/>
      </w:pPr>
      <w:r>
        <w:rPr/>
        <w:t>四、开标记录和评审情况及说明，包括投标无效供应商名单及原因；</w:t>
      </w:r>
    </w:p>
    <w:p>
      <w:pPr>
        <w:pStyle w:val="null3"/>
        <w:ind w:firstLine="480"/>
      </w:pPr>
      <w:r>
        <w:rPr/>
        <w:t>五、评标结果，确定的中标候选人名单或者经采购人委托直接确定的中标人</w:t>
      </w:r>
    </w:p>
    <w:p>
      <w:pPr>
        <w:pStyle w:val="null3"/>
        <w:ind w:firstLine="480"/>
      </w:pPr>
      <w:r>
        <w:rPr/>
        <w:t xml:space="preserve"> 六、其他需要说明的情况，包括评标过程中投标人根据评标委员会要求进行的澄清、说明或者补正，评标委员会成员的更换等；</w:t>
      </w:r>
    </w:p>
    <w:p>
      <w:pPr>
        <w:pStyle w:val="null3"/>
        <w:ind w:firstLine="480"/>
      </w:pPr>
      <w:r>
        <w:rPr/>
        <w:t>七、报价最高的投标人为中标候选人的，评标委员会应当对其报价的合理性予以特别说明。</w:t>
      </w:r>
    </w:p>
    <w:p>
      <w:pPr>
        <w:pStyle w:val="null3"/>
        <w:ind w:firstLine="480"/>
      </w:pPr>
      <w:r>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sz w:val="28"/>
          <w:b/>
        </w:rPr>
        <w:t>5.5评标争议处理规则</w:t>
      </w:r>
    </w:p>
    <w:p>
      <w:pPr>
        <w:pStyle w:val="null3"/>
        <w:ind w:firstLine="480"/>
      </w:pPr>
      <w:r>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sz w:val="28"/>
          <w:b/>
        </w:rPr>
        <w:t>5.6评标细则及标准</w:t>
      </w:r>
    </w:p>
    <w:p>
      <w:pPr>
        <w:pStyle w:val="null3"/>
        <w:ind w:firstLine="480"/>
      </w:pPr>
      <w:r>
        <w:rPr/>
        <w:t xml:space="preserve"> 一、评标委员会只对通过资格审查的投标文件，根据招标文件的要求采用相同的评标程序、评分办法及标准进行评价和比较。</w:t>
      </w:r>
    </w:p>
    <w:p>
      <w:pPr>
        <w:pStyle w:val="null3"/>
        <w:ind w:firstLine="480"/>
      </w:pPr>
      <w:r>
        <w:rPr/>
        <w:t>二、评标委员会成员应依据招标文件规定的评分标准和方法独立评审。</w:t>
      </w:r>
    </w:p>
    <w:p>
      <w:pPr>
        <w:pStyle w:val="null3"/>
        <w:outlineLvl w:val="3"/>
      </w:pPr>
      <w:r>
        <w:rPr>
          <w:sz w:val="24"/>
          <w:b/>
        </w:rPr>
        <w:t>5.6.1评分办法</w:t>
      </w:r>
    </w:p>
    <w:p>
      <w:pPr>
        <w:pStyle w:val="null3"/>
        <w:ind w:firstLine="480"/>
      </w:pPr>
      <w:r>
        <w:rPr/>
        <w:t>若采用综合评分法的，由评标委员会各成员对通过资格检查和符合性审查的投标人的投标文件进行独立评审。 投标报价得分=（评标基准价／投标报价）×100</w:t>
      </w:r>
    </w:p>
    <w:p>
      <w:pPr>
        <w:pStyle w:val="null3"/>
        <w:ind w:firstLine="480"/>
      </w:pPr>
      <w:r>
        <w:rPr/>
        <w:t>评标总得分＝F1×A1＋F2×A2＋……＋Fn×An</w:t>
      </w:r>
    </w:p>
    <w:p>
      <w:pPr>
        <w:pStyle w:val="null3"/>
        <w:ind w:firstLine="480"/>
      </w:pPr>
      <w:r>
        <w:rPr/>
        <w:t>F1、F2……Fn分别为各项评审因素的得分；</w:t>
      </w:r>
    </w:p>
    <w:p>
      <w:pPr>
        <w:pStyle w:val="null3"/>
        <w:ind w:firstLine="480"/>
      </w:pPr>
      <w:r>
        <w:rPr/>
        <w:t>A1、A2、……An 分别为各项评审因素所占的权重（A1＋A2＋……＋An＝1）。</w:t>
      </w:r>
    </w:p>
    <w:p>
      <w:pPr>
        <w:pStyle w:val="null3"/>
        <w:ind w:firstLine="480"/>
      </w:pPr>
      <w:r>
        <w:rPr/>
        <w:t>评标过程中，不得去掉报价中的最高报价和最低报价。</w:t>
      </w:r>
    </w:p>
    <w:p>
      <w:pPr>
        <w:pStyle w:val="null3"/>
        <w:ind w:firstLine="480"/>
      </w:pPr>
      <w:r>
        <w:rPr/>
        <w:t>因落实政府采购政策进行价格调整的，以调整后的价格计算评标基准价和投标报价。</w:t>
      </w:r>
    </w:p>
    <w:p>
      <w:pPr>
        <w:pStyle w:val="null3"/>
        <w:outlineLvl w:val="3"/>
      </w:pPr>
      <w:r>
        <w:rPr>
          <w:sz w:val="24"/>
          <w:b/>
        </w:rPr>
        <w:t>5.6.2评分标准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技术参数</w:t>
            </w:r>
          </w:p>
        </w:tc>
        <w:tc>
          <w:tcPr>
            <w:tcW w:type="dxa" w:w="2492"/>
          </w:tcPr>
          <w:p>
            <w:pPr>
              <w:pStyle w:val="null3"/>
            </w:pPr>
            <w:r>
              <w:rPr/>
              <w:t>对供应产品技术参数进行评审：参数完全满足采购文件要求的，得15分；每正偏离一项加1分，最多加5分；每负偏离一项减1分，最多减5分。 注：参数中标注“★”号的为实质性内容，需提供相应证明材料，未提供投标将被拒绝；负偏离超过5项，投标将被拒绝；</w:t>
            </w:r>
          </w:p>
        </w:tc>
        <w:tc>
          <w:tcPr>
            <w:tcW w:type="dxa" w:w="831"/>
          </w:tcPr>
          <w:p>
            <w:pPr>
              <w:pStyle w:val="null3"/>
              <w:jc w:val="right"/>
            </w:pPr>
            <w:r>
              <w:rPr/>
              <w:t>20.0000</w:t>
            </w:r>
          </w:p>
        </w:tc>
        <w:tc>
          <w:tcPr>
            <w:tcW w:type="dxa" w:w="831"/>
          </w:tcPr>
          <w:p>
            <w:pPr>
              <w:pStyle w:val="null3"/>
            </w:pPr>
            <w:r>
              <w:rPr/>
              <w:t>主观</w:t>
            </w:r>
          </w:p>
        </w:tc>
        <w:tc>
          <w:tcPr>
            <w:tcW w:type="dxa" w:w="1661"/>
          </w:tcPr>
          <w:p>
            <w:pPr>
              <w:pStyle w:val="null3"/>
            </w:pPr>
            <w:r>
              <w:rPr/>
              <w:t>产品技术参数表</w:t>
            </w:r>
          </w:p>
          <w:p>
            <w:pPr>
              <w:pStyle w:val="null3"/>
            </w:pPr>
            <w:r>
              <w:rPr/>
              <w:t>商务应答表</w:t>
            </w:r>
          </w:p>
          <w:p>
            <w:pPr>
              <w:pStyle w:val="null3"/>
            </w:pPr>
            <w:r>
              <w:rPr/>
              <w:t>实施方案</w:t>
            </w:r>
          </w:p>
          <w:p>
            <w:pPr>
              <w:pStyle w:val="null3"/>
            </w:pPr>
            <w:r>
              <w:rPr/>
              <w:t>投标文件封面</w:t>
            </w:r>
          </w:p>
        </w:tc>
      </w:tr>
      <w:tr>
        <w:tc>
          <w:tcPr>
            <w:tcW w:type="dxa" w:w="831"/>
            <w:vMerge/>
          </w:tcPr>
          <w:p/>
        </w:tc>
        <w:tc>
          <w:tcPr>
            <w:tcW w:type="dxa" w:w="1661"/>
          </w:tcPr>
          <w:p>
            <w:pPr>
              <w:pStyle w:val="null3"/>
            </w:pPr>
            <w:r>
              <w:rPr/>
              <w:t>实施方案</w:t>
            </w:r>
          </w:p>
        </w:tc>
        <w:tc>
          <w:tcPr>
            <w:tcW w:type="dxa" w:w="2492"/>
          </w:tcPr>
          <w:p>
            <w:pPr>
              <w:pStyle w:val="null3"/>
            </w:pPr>
            <w:r>
              <w:rPr/>
              <w:t>对实施方案中无人机机场安装部署、检测调试等内容进行审查： ①无人机机场安装部署选址合理、充分考虑了设备及功能的选址要求，检测调试内容详实完整，针对性、可操作性强得10分; ②无人机机场安装部署选址较合理、设备及功能的选址要求考虑不全面，检测调试内容完整，但针对性、可操作性一般得7分; ③无人机机场安装部署选址不合理、未考虑设备及功能的选址要求，检测调试内容不完整，针对性、可操作性不强得4分; ④未提供不得分。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产品技术参数表</w:t>
            </w:r>
          </w:p>
          <w:p>
            <w:pPr>
              <w:pStyle w:val="null3"/>
            </w:pPr>
            <w:r>
              <w:rPr/>
              <w:t>商务应答表</w:t>
            </w:r>
          </w:p>
          <w:p>
            <w:pPr>
              <w:pStyle w:val="null3"/>
            </w:pPr>
            <w:r>
              <w:rPr/>
              <w:t>实施方案</w:t>
            </w:r>
          </w:p>
          <w:p>
            <w:pPr>
              <w:pStyle w:val="null3"/>
            </w:pPr>
            <w:r>
              <w:rPr/>
              <w:t>投标文件封面</w:t>
            </w:r>
          </w:p>
        </w:tc>
      </w:tr>
      <w:tr>
        <w:tc>
          <w:tcPr>
            <w:tcW w:type="dxa" w:w="831"/>
            <w:vMerge/>
          </w:tcPr>
          <w:p/>
        </w:tc>
        <w:tc>
          <w:tcPr>
            <w:tcW w:type="dxa" w:w="1661"/>
          </w:tcPr>
          <w:p>
            <w:pPr>
              <w:pStyle w:val="null3"/>
            </w:pPr>
            <w:r>
              <w:rPr/>
              <w:t>售后服务培训</w:t>
            </w:r>
          </w:p>
        </w:tc>
        <w:tc>
          <w:tcPr>
            <w:tcW w:type="dxa" w:w="2492"/>
          </w:tcPr>
          <w:p>
            <w:pPr>
              <w:pStyle w:val="null3"/>
            </w:pPr>
            <w:r>
              <w:rPr/>
              <w:t>对供应商售后服务培训措施中的培训内容、时长、及考核标准进行评审： ①培训内容科学合理、完整、重点明确、时间满足120学时、考核标准严格，培训结束后能实现10人（含）以上独立操控系统并取得相关证书，得15分； ②培训内容合理完整、重点较明确，时间满足60学时、有明确考核标准，培训结束后能实现5人（含）以上独立操控系统并取得相关证书，得10分； ③培训内容不完整、重点模糊，时间满足24学时、考核标准不清晰，培训结束后能实现5人以下独立操控系统并取得相关证书，得5分； ④未提供不得分。</w:t>
            </w:r>
          </w:p>
        </w:tc>
        <w:tc>
          <w:tcPr>
            <w:tcW w:type="dxa" w:w="831"/>
          </w:tcPr>
          <w:p>
            <w:pPr>
              <w:pStyle w:val="null3"/>
              <w:jc w:val="right"/>
            </w:pPr>
            <w:r>
              <w:rPr/>
              <w:t>15.0000</w:t>
            </w:r>
          </w:p>
        </w:tc>
        <w:tc>
          <w:tcPr>
            <w:tcW w:type="dxa" w:w="831"/>
          </w:tcPr>
          <w:p>
            <w:pPr>
              <w:pStyle w:val="null3"/>
            </w:pPr>
            <w:r>
              <w:rPr/>
              <w:t>主观</w:t>
            </w:r>
          </w:p>
        </w:tc>
        <w:tc>
          <w:tcPr>
            <w:tcW w:type="dxa" w:w="1661"/>
          </w:tcPr>
          <w:p>
            <w:pPr>
              <w:pStyle w:val="null3"/>
            </w:pPr>
            <w:r>
              <w:rPr/>
              <w:t>产品技术参数表</w:t>
            </w:r>
          </w:p>
          <w:p>
            <w:pPr>
              <w:pStyle w:val="null3"/>
            </w:pPr>
            <w:r>
              <w:rPr/>
              <w:t>商务应答表</w:t>
            </w:r>
          </w:p>
          <w:p>
            <w:pPr>
              <w:pStyle w:val="null3"/>
            </w:pPr>
            <w:r>
              <w:rPr/>
              <w:t>投标文件封面</w:t>
            </w:r>
          </w:p>
          <w:p>
            <w:pPr>
              <w:pStyle w:val="null3"/>
            </w:pPr>
            <w:r>
              <w:rPr/>
              <w:t>实施方案</w:t>
            </w:r>
          </w:p>
        </w:tc>
      </w:tr>
      <w:tr>
        <w:tc>
          <w:tcPr>
            <w:tcW w:type="dxa" w:w="831"/>
            <w:vMerge/>
          </w:tcPr>
          <w:p/>
        </w:tc>
        <w:tc>
          <w:tcPr>
            <w:tcW w:type="dxa" w:w="1661"/>
          </w:tcPr>
          <w:p>
            <w:pPr>
              <w:pStyle w:val="null3"/>
            </w:pPr>
            <w:r>
              <w:rPr/>
              <w:t>售后服务保障</w:t>
            </w:r>
          </w:p>
        </w:tc>
        <w:tc>
          <w:tcPr>
            <w:tcW w:type="dxa" w:w="2492"/>
          </w:tcPr>
          <w:p>
            <w:pPr>
              <w:pStyle w:val="null3"/>
            </w:pPr>
            <w:r>
              <w:rPr/>
              <w:t>供应商需提供售后服务保障措施。对出现故障后，供应商拟派出技术人员响应速度及备品备件承诺方面进行评审： ①2小时内(含)到达得4分; 4小时内(含)到达得2分； ②24小时内（含）无法排除故障提供相同的备品备件得4分；48小时内（含）无法排除故障提供相同的备品备件得2分。 ③其余不得分。 须提供承诺书。未提供的不得分。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产品技术参数表</w:t>
            </w:r>
          </w:p>
          <w:p>
            <w:pPr>
              <w:pStyle w:val="null3"/>
            </w:pPr>
            <w:r>
              <w:rPr/>
              <w:t>商务应答表</w:t>
            </w:r>
          </w:p>
          <w:p>
            <w:pPr>
              <w:pStyle w:val="null3"/>
            </w:pPr>
            <w:r>
              <w:rPr/>
              <w:t>投标文件封面</w:t>
            </w:r>
          </w:p>
          <w:p>
            <w:pPr>
              <w:pStyle w:val="null3"/>
            </w:pPr>
            <w:r>
              <w:rPr/>
              <w:t>实施方案</w:t>
            </w:r>
          </w:p>
        </w:tc>
      </w:tr>
      <w:tr>
        <w:tc>
          <w:tcPr>
            <w:tcW w:type="dxa" w:w="831"/>
            <w:vMerge/>
          </w:tcPr>
          <w:p/>
        </w:tc>
        <w:tc>
          <w:tcPr>
            <w:tcW w:type="dxa" w:w="1661"/>
          </w:tcPr>
          <w:p>
            <w:pPr>
              <w:pStyle w:val="null3"/>
            </w:pPr>
            <w:r>
              <w:rPr/>
              <w:t>增值服务</w:t>
            </w:r>
          </w:p>
        </w:tc>
        <w:tc>
          <w:tcPr>
            <w:tcW w:type="dxa" w:w="2492"/>
          </w:tcPr>
          <w:p>
            <w:pPr>
              <w:pStyle w:val="null3"/>
            </w:pPr>
            <w:r>
              <w:rPr/>
              <w:t>供应商根据本项目的实际需求和自身情况，自主对项目运营提供的增值服务： ①增值服务内容详细，能充分体现对项目运营有显著提升得5分； ②增值服务内容比较详细，能体现对项目运营有部分提升得3分； ③增值服务内容不详细，不能体现对项目运营有提升或提升不明显得1分； ④未提供的不得分。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产品技术参数表</w:t>
            </w:r>
          </w:p>
          <w:p>
            <w:pPr>
              <w:pStyle w:val="null3"/>
            </w:pPr>
            <w:r>
              <w:rPr/>
              <w:t>商务应答表</w:t>
            </w:r>
          </w:p>
          <w:p>
            <w:pPr>
              <w:pStyle w:val="null3"/>
            </w:pPr>
            <w:r>
              <w:rPr/>
              <w:t>实施方案</w:t>
            </w:r>
          </w:p>
        </w:tc>
      </w:tr>
      <w:tr>
        <w:tc>
          <w:tcPr>
            <w:tcW w:type="dxa" w:w="831"/>
            <w:vMerge/>
          </w:tcPr>
          <w:p/>
        </w:tc>
        <w:tc>
          <w:tcPr>
            <w:tcW w:type="dxa" w:w="1661"/>
          </w:tcPr>
          <w:p>
            <w:pPr>
              <w:pStyle w:val="null3"/>
            </w:pPr>
            <w:r>
              <w:rPr/>
              <w:t>质保要求</w:t>
            </w:r>
          </w:p>
        </w:tc>
        <w:tc>
          <w:tcPr>
            <w:tcW w:type="dxa" w:w="2492"/>
          </w:tcPr>
          <w:p>
            <w:pPr>
              <w:pStyle w:val="null3"/>
            </w:pPr>
            <w:r>
              <w:rPr/>
              <w:t>①提供具有有效期内的设备厂家授权认证证书，得1分；未提供不得分； ②提供原厂保修或承诺书得1分，未提供不得分。</w:t>
            </w:r>
          </w:p>
        </w:tc>
        <w:tc>
          <w:tcPr>
            <w:tcW w:type="dxa" w:w="831"/>
          </w:tcPr>
          <w:p>
            <w:pPr>
              <w:pStyle w:val="null3"/>
              <w:jc w:val="right"/>
            </w:pPr>
            <w:r>
              <w:rPr/>
              <w:t>2.0000</w:t>
            </w:r>
          </w:p>
        </w:tc>
        <w:tc>
          <w:tcPr>
            <w:tcW w:type="dxa" w:w="831"/>
          </w:tcPr>
          <w:p>
            <w:pPr>
              <w:pStyle w:val="null3"/>
            </w:pPr>
            <w:r>
              <w:rPr/>
              <w:t>客观</w:t>
            </w:r>
          </w:p>
        </w:tc>
        <w:tc>
          <w:tcPr>
            <w:tcW w:type="dxa" w:w="1661"/>
          </w:tcPr>
          <w:p>
            <w:pPr>
              <w:pStyle w:val="null3"/>
            </w:pPr>
            <w:r>
              <w:rPr/>
              <w:t>产品技术参数表</w:t>
            </w:r>
          </w:p>
          <w:p>
            <w:pPr>
              <w:pStyle w:val="null3"/>
            </w:pPr>
            <w:r>
              <w:rPr/>
              <w:t>商务应答表</w:t>
            </w:r>
          </w:p>
          <w:p>
            <w:pPr>
              <w:pStyle w:val="null3"/>
            </w:pPr>
            <w:r>
              <w:rPr/>
              <w:t>投标人应提交的相关资格证明材料</w:t>
            </w:r>
          </w:p>
          <w:p>
            <w:pPr>
              <w:pStyle w:val="null3"/>
            </w:pPr>
            <w:r>
              <w:rPr/>
              <w:t>实施方案</w:t>
            </w:r>
          </w:p>
        </w:tc>
      </w:tr>
      <w:tr>
        <w:tc>
          <w:tcPr>
            <w:tcW w:type="dxa" w:w="831"/>
            <w:vMerge/>
          </w:tcPr>
          <w:p/>
        </w:tc>
        <w:tc>
          <w:tcPr>
            <w:tcW w:type="dxa" w:w="1661"/>
          </w:tcPr>
          <w:p>
            <w:pPr>
              <w:pStyle w:val="null3"/>
            </w:pPr>
            <w:r>
              <w:rPr/>
              <w:t>业绩</w:t>
            </w:r>
          </w:p>
        </w:tc>
        <w:tc>
          <w:tcPr>
            <w:tcW w:type="dxa" w:w="2492"/>
          </w:tcPr>
          <w:p>
            <w:pPr>
              <w:pStyle w:val="null3"/>
            </w:pPr>
            <w:r>
              <w:rPr/>
              <w:t>以合同的形式提供2021年至今同类项目业绩，每提供一项得2分，最高得10分。</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产品技术参数表</w:t>
            </w:r>
          </w:p>
          <w:p>
            <w:pPr>
              <w:pStyle w:val="null3"/>
            </w:pPr>
            <w:r>
              <w:rPr/>
              <w:t>商务应答表</w:t>
            </w:r>
          </w:p>
          <w:p>
            <w:pPr>
              <w:pStyle w:val="null3"/>
            </w:pPr>
            <w:r>
              <w:rPr/>
              <w:t>投标文件封面</w:t>
            </w:r>
          </w:p>
          <w:p>
            <w:pPr>
              <w:pStyle w:val="null3"/>
            </w:pPr>
            <w:r>
              <w:rPr/>
              <w:t>实施方案</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价格分统一采用低价优先法计算，即满足招标文件要求且投标价格最低的投标报价为评标基准价，其价格分为满分。其他响应单位的价格分统一按照下列公式计算：投标报价得分=(投标基准价 /投标最终报价)×价格权值×100（计算分数时四舍五入取小数点后两位）注：根据《政府采购 促进中小企业发展管理办法》的通知&gt;（财库〔2020〕46 号）及《财政部关于进一步加大政府采购支持中小企业力度的通知》（财库 〔2022〕19 号）的相关规定，对小型和微型企业的价格给予相应的扣除，用扣除后的价格参与评审。评标 小组三分之二以上人员认为某投标报价有低于成本价嫌疑的，为无效报价。</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开标一览表</w:t>
            </w:r>
          </w:p>
          <w:p>
            <w:pPr>
              <w:pStyle w:val="null3"/>
            </w:pPr>
            <w:r>
              <w:rPr/>
              <w:t>标的清单</w:t>
            </w:r>
          </w:p>
          <w:p>
            <w:pPr>
              <w:pStyle w:val="null3"/>
            </w:pPr>
            <w:r>
              <w:rPr/>
              <w:t>分项报价表</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开标一览表 中小企业声明函 残疾人福利性单位声明函 标的清单 监狱企业的证明文件</w:t>
            </w:r>
          </w:p>
        </w:tc>
      </w:tr>
    </w:tbl>
    <w:p>
      <w:pPr>
        <w:pStyle w:val="null3"/>
        <w:ind w:firstLine="480"/>
      </w:pPr>
      <w:r>
        <w:rPr/>
        <w:t>说明：</w:t>
      </w:r>
    </w:p>
    <w:p>
      <w:pPr>
        <w:pStyle w:val="null3"/>
        <w:ind w:firstLine="480"/>
      </w:pPr>
      <w:r>
        <w:rPr/>
        <w:t>1、评分的取值按四舍五入法，保留小数点后两位；</w:t>
      </w:r>
    </w:p>
    <w:p>
      <w:pPr>
        <w:pStyle w:val="null3"/>
        <w:ind w:firstLine="480"/>
      </w:pPr>
      <w:r>
        <w:rPr/>
        <w:t>2、评分标准中要求提供复印件的证明材料须清晰可辨。</w:t>
      </w:r>
    </w:p>
    <w:p>
      <w:pPr>
        <w:pStyle w:val="null3"/>
        <w:ind w:firstLine="480"/>
      </w:pPr>
      <w:r>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sz w:val="28"/>
          <w:b/>
        </w:rPr>
        <w:t>5.7废标</w:t>
      </w:r>
    </w:p>
    <w:p>
      <w:pPr>
        <w:pStyle w:val="null3"/>
        <w:ind w:firstLine="480"/>
      </w:pPr>
      <w:r>
        <w:rPr/>
        <w:t>本次政府采购活动中，出现下列情形之一的，予以废标：</w:t>
      </w:r>
    </w:p>
    <w:p>
      <w:pPr>
        <w:pStyle w:val="null3"/>
        <w:ind w:firstLine="480"/>
      </w:pPr>
      <w:r>
        <w:rPr/>
        <w:t>一、符合专业条件的投标人或者对招标文件作实质响应的投标人不足三家的；</w:t>
      </w:r>
    </w:p>
    <w:p>
      <w:pPr>
        <w:pStyle w:val="null3"/>
        <w:ind w:firstLine="480"/>
      </w:pPr>
      <w:r>
        <w:rPr/>
        <w:t>二、出现影响采购公正的违法、违规行为的；</w:t>
      </w:r>
    </w:p>
    <w:p>
      <w:pPr>
        <w:pStyle w:val="null3"/>
        <w:ind w:firstLine="480"/>
      </w:pPr>
      <w:r>
        <w:rPr/>
        <w:t>三、投标人的报价均超过了采购预算，采购人不能支付的；</w:t>
      </w:r>
    </w:p>
    <w:p>
      <w:pPr>
        <w:pStyle w:val="null3"/>
        <w:ind w:firstLine="480"/>
      </w:pPr>
      <w:r>
        <w:rPr/>
        <w:t>四、因重大变故，采购任务取消的；</w:t>
      </w:r>
    </w:p>
    <w:p>
      <w:pPr>
        <w:pStyle w:val="null3"/>
        <w:ind w:firstLine="480"/>
      </w:pPr>
      <w:r>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sz w:val="28"/>
          <w:b/>
        </w:rPr>
        <w:t>5.8定标</w:t>
      </w:r>
    </w:p>
    <w:p>
      <w:pPr>
        <w:pStyle w:val="null3"/>
        <w:outlineLvl w:val="3"/>
      </w:pPr>
      <w:r>
        <w:rPr>
          <w:sz w:val="24"/>
          <w:b/>
        </w:rPr>
        <w:t>5.8.1 定标原则</w:t>
      </w:r>
    </w:p>
    <w:p>
      <w:pPr>
        <w:pStyle w:val="null3"/>
      </w:pPr>
      <w:r>
        <w:rPr/>
        <w:t>采购人在评标报告确定的中标候选人名单中按顺序确定1名中标人。中标候选人并列的，由采购人采取随机抽取的方式确定中标人。</w:t>
      </w:r>
    </w:p>
    <w:p>
      <w:pPr>
        <w:pStyle w:val="null3"/>
        <w:outlineLvl w:val="3"/>
      </w:pPr>
      <w:r>
        <w:rPr>
          <w:sz w:val="24"/>
          <w:b/>
        </w:rPr>
        <w:t>5.8.2定标程序</w:t>
      </w:r>
    </w:p>
    <w:p>
      <w:pPr>
        <w:pStyle w:val="null3"/>
      </w:pPr>
      <w:r>
        <w:rPr/>
        <w:t>一、评标委员会在项目电子化交易系统中编制评标情况，生成评标报告。</w:t>
      </w:r>
    </w:p>
    <w:p>
      <w:pPr>
        <w:pStyle w:val="null3"/>
      </w:pPr>
      <w:r>
        <w:rPr/>
        <w:t>二、代理机构在评标结束之日起2个工作日内将评标报告送采购人。</w:t>
      </w:r>
    </w:p>
    <w:p>
      <w:pPr>
        <w:pStyle w:val="null3"/>
      </w:pPr>
      <w:r>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t>四、根据确定的中标供应商，代理机构在陕西省政府采购网上发布中标结果公告，通过项目电子化交易系统向中标供应商发出中标通知书。</w:t>
      </w:r>
    </w:p>
    <w:p>
      <w:pPr>
        <w:pStyle w:val="null3"/>
        <w:outlineLvl w:val="2"/>
      </w:pPr>
      <w:r>
        <w:rPr>
          <w:sz w:val="28"/>
          <w:b/>
        </w:rPr>
        <w:t>5.9评审专家在政府采购活动中承担以下义务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5.10评审专家在政府采购活动中应当遵守以下工作纪律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 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第六章 投标文件格式</w:t>
      </w:r>
    </w:p>
    <w:p>
      <w:pPr>
        <w:pStyle w:val="null3"/>
      </w:pPr>
      <w:r>
        <w:rPr/>
        <w:t>采购包1：</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详见附件：投标人应提交的相关资格证明材料</w:t>
      </w:r>
    </w:p>
    <w:p>
      <w:pPr>
        <w:pStyle w:val="null3"/>
        <w:ind w:firstLine="960"/>
      </w:pPr>
      <w:r>
        <w:rPr/>
        <w:t>详见附件：产品技术参数表</w:t>
      </w:r>
    </w:p>
    <w:p>
      <w:pPr>
        <w:pStyle w:val="null3"/>
        <w:ind w:firstLine="960"/>
      </w:pPr>
      <w:r>
        <w:rPr/>
        <w:t>详见附件：商务应答表</w:t>
      </w:r>
    </w:p>
    <w:p>
      <w:pPr>
        <w:pStyle w:val="null3"/>
        <w:ind w:firstLine="960"/>
      </w:pPr>
      <w:r>
        <w:rPr/>
        <w:t>详见附件：开标一览表</w:t>
      </w:r>
    </w:p>
    <w:p>
      <w:pPr>
        <w:pStyle w:val="null3"/>
        <w:ind w:firstLine="960"/>
      </w:pPr>
      <w:r>
        <w:rPr/>
        <w:t>详见附件：标的清单</w:t>
      </w:r>
    </w:p>
    <w:p>
      <w:pPr>
        <w:pStyle w:val="null3"/>
        <w:ind w:firstLine="960"/>
      </w:pPr>
      <w:r>
        <w:rPr/>
        <w:t>详见附件：实施方案</w:t>
      </w:r>
    </w:p>
    <w:p>
      <w:pPr>
        <w:pStyle w:val="null3"/>
        <w:ind w:firstLine="960"/>
      </w:pPr>
      <w:r>
        <w:rPr/>
        <w:t>详见附件：分项报价表</w:t>
      </w:r>
    </w:p>
    <w:p>
      <w:pPr>
        <w:pStyle w:val="null3"/>
      </w:pPr>
      <w:r>
        <w:rPr/>
        <w:t xml:space="preserve"> </w:t>
        <w:br/>
        <w:br w:type="page"/>
      </w:r>
    </w:p>
    <w:p>
      <w:pPr>
        <w:pStyle w:val="null3"/>
        <w:jc w:val="center"/>
        <w:outlineLvl w:val="1"/>
      </w:pPr>
      <w:r>
        <w:rPr>
          <w:sz w:val="36"/>
          <w:b/>
        </w:rPr>
        <w:t>第七章 拟签订合同文本</w:t>
      </w:r>
    </w:p>
    <w:p>
      <w:pPr>
        <w:pStyle w:val="null3"/>
      </w:pPr>
      <w:r>
        <w:rPr/>
        <w:t>详见附件：采购合同-样式.docx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