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供应室脉动真空压力蒸汽灭菌器采购项目</w:t>
      </w:r>
    </w:p>
    <w:p>
      <w:pPr>
        <w:pStyle w:val="null3"/>
        <w:jc w:val="center"/>
        <w:outlineLvl w:val="2"/>
      </w:pPr>
      <w:r>
        <w:rPr>
          <w:b/>
          <w:sz w:val="28"/>
        </w:rPr>
        <w:t>采购项目编号：</w:t>
      </w:r>
      <w:r>
        <w:rPr>
          <w:b/>
          <w:sz w:val="28"/>
        </w:rPr>
        <w:t>SCZD2024-JT-0264-001</w:t>
      </w:r>
      <w:r>
        <w:br/>
      </w:r>
      <w:r>
        <w:br/>
      </w:r>
      <w:r>
        <w:br/>
      </w:r>
    </w:p>
    <w:p>
      <w:pPr>
        <w:pStyle w:val="null3"/>
        <w:jc w:val="center"/>
        <w:outlineLvl w:val="2"/>
      </w:pPr>
      <w:r>
        <w:rPr>
          <w:b/>
          <w:sz w:val="28"/>
        </w:rPr>
        <w:t>铜川市耀州区人民医院</w:t>
      </w:r>
    </w:p>
    <w:p>
      <w:pPr>
        <w:pStyle w:val="null3"/>
        <w:jc w:val="center"/>
        <w:outlineLvl w:val="2"/>
      </w:pPr>
      <w:r>
        <w:rPr>
          <w:b/>
          <w:sz w:val="28"/>
        </w:rPr>
        <w:t>陕西省采购招标有限责任公司</w:t>
      </w:r>
      <w:r>
        <w:rPr>
          <w:b/>
          <w:sz w:val="28"/>
        </w:rPr>
        <w:t>共同编制</w:t>
      </w:r>
    </w:p>
    <w:p>
      <w:pPr>
        <w:pStyle w:val="null3"/>
        <w:jc w:val="center"/>
        <w:outlineLvl w:val="2"/>
      </w:pPr>
      <w:r>
        <w:rPr>
          <w:b/>
          <w:sz w:val="28"/>
        </w:rPr>
        <w:t>2024年03月17日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陕西省采购招标有限责任公司</w:t>
      </w:r>
      <w:r>
        <w:rPr/>
        <w:t>（以下简称“代理机构”）受</w:t>
      </w:r>
      <w:r>
        <w:rPr/>
        <w:t>铜川市耀州区人民医院</w:t>
      </w:r>
      <w:r>
        <w:rPr/>
        <w:t>委托，拟对</w:t>
      </w:r>
      <w:r>
        <w:rPr/>
        <w:t>供应室脉动真空压力蒸汽灭菌器采购项目</w:t>
      </w:r>
      <w:r>
        <w:rPr/>
        <w:t>采用竞争性谈判采购方式进行采购，兹邀请供应商参加本项目的竞争性谈判。</w:t>
      </w:r>
    </w:p>
    <w:p>
      <w:pPr>
        <w:pStyle w:val="null3"/>
        <w:outlineLvl w:val="2"/>
      </w:pPr>
      <w:r>
        <w:rPr>
          <w:b/>
          <w:sz w:val="28"/>
        </w:rPr>
        <w:t>一、项目编号：</w:t>
      </w:r>
      <w:r>
        <w:rPr>
          <w:b/>
          <w:sz w:val="28"/>
        </w:rPr>
        <w:t>SCZD2024-JT-0264-001</w:t>
      </w:r>
    </w:p>
    <w:p>
      <w:pPr>
        <w:pStyle w:val="null3"/>
        <w:outlineLvl w:val="2"/>
      </w:pPr>
      <w:r>
        <w:rPr>
          <w:b/>
          <w:sz w:val="28"/>
        </w:rPr>
        <w:t>二、项目名称：</w:t>
      </w:r>
      <w:r>
        <w:rPr>
          <w:b/>
          <w:sz w:val="28"/>
        </w:rPr>
        <w:t>供应室脉动真空压力蒸汽灭菌器采购项目</w:t>
      </w:r>
    </w:p>
    <w:p>
      <w:pPr>
        <w:pStyle w:val="null3"/>
        <w:outlineLvl w:val="2"/>
      </w:pPr>
      <w:r>
        <w:rPr>
          <w:b/>
          <w:sz w:val="28"/>
        </w:rPr>
        <w:t>三、谈判项目简介：</w:t>
      </w:r>
    </w:p>
    <w:p>
      <w:pPr>
        <w:pStyle w:val="null3"/>
        <w:ind w:firstLine="480"/>
      </w:pPr>
      <w:r>
        <w:rPr/>
        <w:t>采购脉动真空压力蒸汽灭菌器等</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采购包1（脉动真空压力蒸汽灭菌器）：属于专门面向中小企业采购。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供应商为经销商的应出具医疗器械经营许可证或二类医疗器械备案凭证（谈判产品须在其经营范围内）、谈判产品属于医疗器械管理的提供医疗器械注册证；供应商为制造厂家应出具医疗器械经营许可证或二类医疗器械备案凭证（谈判产品须在其经营范围内），并出具医疗器械生产许可证（谈判产品须在其生产范围内）、谈判产品属于医疗器械管理的提供医疗器械注册证：供应商为经销商的应出具医疗器械经营许可证或二类医疗器械备案凭证（谈判产品须在其经营范围内）、谈判产品属于医疗器械管理的提供医疗器械注册证；供应商为制造厂家应出具医疗器械经营许可证或二类医疗器械备案凭证（谈判产品须在其经营范围内），并出具医疗器械生产许可证（谈判产品须在其生产范围内）、谈判产品属于医疗器械管理的提供医疗器械注册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铜川市耀州区人民医院</w:t>
      </w:r>
    </w:p>
    <w:p>
      <w:pPr>
        <w:pStyle w:val="null3"/>
      </w:pPr>
      <w:r>
        <w:rPr/>
        <w:t xml:space="preserve"> 地址： </w:t>
      </w:r>
      <w:r>
        <w:rPr/>
        <w:t>铜川市耀州区华原路中段北侧</w:t>
      </w:r>
    </w:p>
    <w:p>
      <w:pPr>
        <w:pStyle w:val="null3"/>
      </w:pPr>
      <w:r>
        <w:rPr/>
        <w:t xml:space="preserve"> 邮编： </w:t>
      </w:r>
      <w:r>
        <w:rPr/>
        <w:t>727100</w:t>
      </w:r>
    </w:p>
    <w:p>
      <w:pPr>
        <w:pStyle w:val="null3"/>
      </w:pPr>
      <w:r>
        <w:rPr/>
        <w:t xml:space="preserve"> 联系人： </w:t>
      </w:r>
      <w:r>
        <w:rPr/>
        <w:t>铜川市耀州区人民医院经办</w:t>
      </w:r>
    </w:p>
    <w:p>
      <w:pPr>
        <w:pStyle w:val="null3"/>
      </w:pPr>
      <w:r>
        <w:rPr/>
        <w:t xml:space="preserve"> 联系电话： </w:t>
      </w:r>
      <w:r>
        <w:rPr/>
        <w:t>0919-6285612</w:t>
      </w:r>
    </w:p>
    <w:p>
      <w:pPr>
        <w:pStyle w:val="null3"/>
        <w:outlineLvl w:val="3"/>
      </w:pPr>
      <w:r>
        <w:rPr>
          <w:b/>
          <w:sz w:val="24"/>
        </w:rPr>
        <w:t>代理机构：</w:t>
      </w:r>
      <w:r>
        <w:rPr>
          <w:b/>
          <w:sz w:val="24"/>
        </w:rPr>
        <w:t>陕西省采购招标有限责任公司</w:t>
      </w:r>
    </w:p>
    <w:p>
      <w:pPr>
        <w:pStyle w:val="null3"/>
      </w:pPr>
      <w:r>
        <w:rPr/>
        <w:t xml:space="preserve"> 地址： </w:t>
      </w:r>
      <w:r>
        <w:rPr/>
        <w:t>西安市高新二路2号山西证券大厦八楼</w:t>
      </w:r>
    </w:p>
    <w:p>
      <w:pPr>
        <w:pStyle w:val="null3"/>
      </w:pPr>
      <w:r>
        <w:rPr/>
        <w:t xml:space="preserve"> 邮编： </w:t>
      </w:r>
      <w:r>
        <w:rPr/>
        <w:t>710082</w:t>
      </w:r>
    </w:p>
    <w:p>
      <w:pPr>
        <w:pStyle w:val="null3"/>
      </w:pPr>
      <w:r>
        <w:rPr/>
        <w:t xml:space="preserve"> 联系人： </w:t>
      </w:r>
      <w:r>
        <w:rPr/>
        <w:t>张锐 雷鹏</w:t>
      </w:r>
    </w:p>
    <w:p>
      <w:pPr>
        <w:pStyle w:val="null3"/>
      </w:pPr>
      <w:r>
        <w:rPr/>
        <w:t xml:space="preserve"> 联系电话： </w:t>
      </w:r>
      <w:r>
        <w:rPr/>
        <w:t>029-88497916</w:t>
      </w:r>
    </w:p>
    <w:p>
      <w:pPr>
        <w:pStyle w:val="null3"/>
        <w:outlineLvl w:val="3"/>
      </w:pPr>
      <w:r>
        <w:rPr>
          <w:b/>
          <w:sz w:val="24"/>
        </w:rPr>
        <w:t>采购监督机构：</w:t>
      </w:r>
      <w:r>
        <w:rPr>
          <w:b/>
          <w:sz w:val="24"/>
        </w:rPr>
        <w:t>铜川市耀州区政府采购管理股</w:t>
      </w:r>
    </w:p>
    <w:p>
      <w:pPr>
        <w:pStyle w:val="null3"/>
        <w:ind w:firstLine="480"/>
      </w:pPr>
      <w:r>
        <w:rPr/>
        <w:t>联系人：</w:t>
      </w:r>
      <w:r>
        <w:rPr/>
        <w:t>袁峰</w:t>
      </w:r>
    </w:p>
    <w:p>
      <w:pPr>
        <w:pStyle w:val="null3"/>
        <w:ind w:firstLine="480"/>
      </w:pPr>
      <w:r>
        <w:rPr/>
        <w:t>联系电话：</w:t>
      </w:r>
      <w:r>
        <w:rPr/>
        <w:t>0919-6602227</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前，须向采购代理机构支付采购代理服务费，采购代理服务费由采购人与采购代理机构约定：参照原国家计委计价格〔2002〕1980号文和国家发改委发改办价格〔2003〕857号文的计算方法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铜川市耀州区人民医院</w:t>
      </w:r>
      <w:r>
        <w:rPr/>
        <w:t>和</w:t>
      </w:r>
      <w:r>
        <w:rPr/>
        <w:t>陕西省采购招标有限责任公司</w:t>
      </w:r>
      <w:r>
        <w:rPr/>
        <w:t>享有。竞争性谈判文件中供应商参加本次政府采购活动应当具备的条件、技术清单、参数、商务及其他要求由</w:t>
      </w:r>
      <w:r>
        <w:rPr/>
        <w:t>铜川市耀州区人民医院</w:t>
      </w:r>
      <w:r>
        <w:rPr/>
        <w:t>负责解释。除上述竞争性谈判文件内容，其他内容由</w:t>
      </w:r>
      <w:r>
        <w:rPr/>
        <w:t>陕西省采购招标有限责任公司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铜川市耀州区人民医院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陕西省采购招标有限责任公司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详见合同文本</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联系人：马超</w:t>
      </w:r>
    </w:p>
    <w:p>
      <w:pPr>
        <w:pStyle w:val="null3"/>
      </w:pPr>
      <w:r>
        <w:rPr/>
        <w:t>联系电话：029-85235014</w:t>
      </w:r>
    </w:p>
    <w:p>
      <w:pPr>
        <w:pStyle w:val="null3"/>
      </w:pPr>
      <w:r>
        <w:rPr/>
        <w:t>地址：西安市高新二路2号山西证券大厦八楼综合办公室</w:t>
      </w:r>
    </w:p>
    <w:p>
      <w:pPr>
        <w:pStyle w:val="null3"/>
      </w:pPr>
      <w:r>
        <w:rPr/>
        <w:t>邮编：710082</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采购脉动真空压力蒸汽灭菌器等</w:t>
      </w:r>
    </w:p>
    <w:p>
      <w:pPr>
        <w:pStyle w:val="null3"/>
        <w:outlineLvl w:val="2"/>
      </w:pPr>
      <w:r>
        <w:rPr>
          <w:b/>
          <w:sz w:val="28"/>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关于区医院采购供应室脉动真空压力蒸汽灭菌器项目</w:t>
            </w:r>
          </w:p>
        </w:tc>
        <w:tc>
          <w:tcPr>
            <w:tcW w:type="dxa" w:w="831"/>
          </w:tcPr>
          <w:p>
            <w:pPr>
              <w:pStyle w:val="null3"/>
              <w:jc w:val="right"/>
            </w:pPr>
            <w:r>
              <w:rPr/>
              <w:t>2.00</w:t>
            </w:r>
          </w:p>
        </w:tc>
        <w:tc>
          <w:tcPr>
            <w:tcW w:type="dxa" w:w="831"/>
          </w:tcPr>
          <w:p>
            <w:pPr>
              <w:pStyle w:val="null3"/>
              <w:jc w:val="right"/>
            </w:pPr>
            <w:r>
              <w:rPr/>
              <w:t>1,000,000.00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标的名称：关于区医院采购供应室脉动真空压力蒸汽灭菌器项目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b/>
                <w:color w:val="000000"/>
                <w:sz w:val="24"/>
              </w:rPr>
              <w:t>脉动真空灭菌器</w:t>
            </w:r>
            <w:r>
              <w:rPr>
                <w:rFonts w:ascii="宋体" w:hAnsi="宋体" w:cs="宋体" w:eastAsia="宋体"/>
                <w:b/>
                <w:color w:val="000000"/>
                <w:sz w:val="24"/>
              </w:rPr>
              <w:t>(2台）：</w:t>
            </w:r>
          </w:p>
          <w:p>
            <w:pPr>
              <w:pStyle w:val="null3"/>
              <w:ind w:left="-315" w:firstLine="315"/>
              <w:jc w:val="both"/>
            </w:pPr>
            <w:r>
              <w:rPr>
                <w:rFonts w:ascii="宋体" w:hAnsi="宋体" w:cs="宋体" w:eastAsia="宋体"/>
                <w:sz w:val="24"/>
              </w:rPr>
              <w:t>1.</w:t>
            </w:r>
            <w:r>
              <w:rPr>
                <w:rFonts w:ascii="宋体" w:hAnsi="宋体" w:cs="宋体" w:eastAsia="宋体"/>
                <w:sz w:val="24"/>
              </w:rPr>
              <w:t>用途：对耐热、耐湿物品的灭菌处理</w:t>
            </w:r>
          </w:p>
          <w:p>
            <w:pPr>
              <w:pStyle w:val="null3"/>
              <w:jc w:val="both"/>
            </w:pPr>
            <w:r>
              <w:rPr>
                <w:rFonts w:ascii="宋体" w:hAnsi="宋体" w:cs="宋体" w:eastAsia="宋体"/>
                <w:sz w:val="24"/>
              </w:rPr>
              <w:t>2.</w:t>
            </w:r>
            <w:r>
              <w:rPr>
                <w:rFonts w:ascii="宋体" w:hAnsi="宋体" w:cs="宋体" w:eastAsia="宋体"/>
                <w:sz w:val="24"/>
              </w:rPr>
              <w:t>灭菌室容积：</w:t>
            </w:r>
            <w:r>
              <w:rPr>
                <w:rFonts w:ascii="宋体" w:hAnsi="宋体" w:cs="宋体" w:eastAsia="宋体"/>
                <w:sz w:val="24"/>
              </w:rPr>
              <w:t>≥1200L</w:t>
            </w:r>
          </w:p>
          <w:p>
            <w:pPr>
              <w:pStyle w:val="null3"/>
              <w:jc w:val="both"/>
            </w:pPr>
            <w:r>
              <w:rPr>
                <w:rFonts w:ascii="宋体" w:hAnsi="宋体" w:cs="宋体" w:eastAsia="宋体"/>
                <w:sz w:val="24"/>
              </w:rPr>
              <w:t>3.</w:t>
            </w:r>
            <w:r>
              <w:rPr>
                <w:rFonts w:ascii="宋体" w:hAnsi="宋体" w:cs="宋体" w:eastAsia="宋体"/>
                <w:sz w:val="24"/>
              </w:rPr>
              <w:t>外形尺寸：</w:t>
            </w:r>
            <w:r>
              <w:rPr>
                <w:rFonts w:ascii="宋体" w:hAnsi="宋体" w:cs="宋体" w:eastAsia="宋体"/>
                <w:sz w:val="24"/>
              </w:rPr>
              <w:t>(W*H*D)≥1500*2050*1900</w:t>
            </w:r>
          </w:p>
          <w:p>
            <w:pPr>
              <w:pStyle w:val="null3"/>
              <w:jc w:val="both"/>
            </w:pPr>
            <w:r>
              <w:rPr>
                <w:rFonts w:ascii="宋体" w:hAnsi="宋体" w:cs="宋体" w:eastAsia="宋体"/>
                <w:sz w:val="24"/>
              </w:rPr>
              <w:t>4.</w:t>
            </w:r>
            <w:r>
              <w:rPr>
                <w:rFonts w:ascii="宋体" w:hAnsi="宋体" w:cs="宋体" w:eastAsia="宋体"/>
                <w:sz w:val="24"/>
              </w:rPr>
              <w:t>灭菌室尺寸：（</w:t>
            </w:r>
            <w:r>
              <w:rPr>
                <w:rFonts w:ascii="宋体" w:hAnsi="宋体" w:cs="宋体" w:eastAsia="宋体"/>
                <w:sz w:val="24"/>
              </w:rPr>
              <w:t>W*H*D）≥730*1030*1600</w:t>
            </w:r>
          </w:p>
          <w:p>
            <w:pPr>
              <w:pStyle w:val="null3"/>
              <w:jc w:val="both"/>
            </w:pPr>
            <w:r>
              <w:rPr>
                <w:rFonts w:ascii="宋体" w:hAnsi="宋体" w:cs="宋体" w:eastAsia="宋体"/>
                <w:sz w:val="24"/>
              </w:rPr>
              <w:t>5.</w:t>
            </w:r>
            <w:r>
              <w:rPr>
                <w:rFonts w:ascii="宋体" w:hAnsi="宋体" w:cs="宋体" w:eastAsia="宋体"/>
                <w:sz w:val="24"/>
              </w:rPr>
              <w:t>加热方式：电加热自带蒸汽发生器</w:t>
            </w:r>
          </w:p>
          <w:p>
            <w:pPr>
              <w:pStyle w:val="null3"/>
              <w:jc w:val="both"/>
            </w:pPr>
            <w:r>
              <w:rPr>
                <w:rFonts w:ascii="宋体" w:hAnsi="宋体" w:cs="宋体" w:eastAsia="宋体"/>
                <w:sz w:val="24"/>
              </w:rPr>
              <w:t>6.</w:t>
            </w:r>
            <w:r>
              <w:rPr>
                <w:rFonts w:ascii="宋体" w:hAnsi="宋体" w:cs="宋体" w:eastAsia="宋体"/>
                <w:sz w:val="24"/>
              </w:rPr>
              <w:t>主体结构：环形加强筋结构，多点进汽，多段加热（提供图纸实物照佐证）</w:t>
            </w:r>
          </w:p>
          <w:p>
            <w:pPr>
              <w:pStyle w:val="null3"/>
              <w:jc w:val="both"/>
            </w:pPr>
            <w:r>
              <w:rPr>
                <w:rFonts w:ascii="宋体" w:hAnsi="宋体" w:cs="宋体" w:eastAsia="宋体"/>
                <w:sz w:val="24"/>
              </w:rPr>
              <w:t>7.</w:t>
            </w:r>
            <w:r>
              <w:rPr>
                <w:rFonts w:ascii="宋体" w:hAnsi="宋体" w:cs="宋体" w:eastAsia="宋体"/>
                <w:sz w:val="24"/>
              </w:rPr>
              <w:t>脉动次数：</w:t>
            </w:r>
            <w:r>
              <w:rPr>
                <w:rFonts w:ascii="宋体" w:hAnsi="宋体" w:cs="宋体" w:eastAsia="宋体"/>
                <w:sz w:val="24"/>
              </w:rPr>
              <w:t>3次   0～99次可设置</w:t>
            </w:r>
          </w:p>
          <w:p>
            <w:pPr>
              <w:pStyle w:val="null3"/>
              <w:jc w:val="both"/>
            </w:pPr>
            <w:r>
              <w:rPr>
                <w:rFonts w:ascii="宋体" w:hAnsi="宋体" w:cs="宋体" w:eastAsia="宋体"/>
                <w:sz w:val="24"/>
              </w:rPr>
              <w:t>8.</w:t>
            </w:r>
            <w:r>
              <w:rPr>
                <w:rFonts w:ascii="宋体" w:hAnsi="宋体" w:cs="宋体" w:eastAsia="宋体"/>
                <w:sz w:val="24"/>
              </w:rPr>
              <w:t>灭菌温度：</w:t>
            </w:r>
            <w:r>
              <w:rPr>
                <w:rFonts w:ascii="宋体" w:hAnsi="宋体" w:cs="宋体" w:eastAsia="宋体"/>
                <w:sz w:val="24"/>
              </w:rPr>
              <w:t>105～138可设置</w:t>
            </w:r>
          </w:p>
          <w:p>
            <w:pPr>
              <w:pStyle w:val="null3"/>
              <w:jc w:val="both"/>
            </w:pPr>
            <w:r>
              <w:rPr>
                <w:rFonts w:ascii="宋体" w:hAnsi="宋体" w:cs="宋体" w:eastAsia="宋体"/>
                <w:sz w:val="24"/>
              </w:rPr>
              <w:t>9.</w:t>
            </w:r>
            <w:r>
              <w:rPr>
                <w:rFonts w:ascii="宋体" w:hAnsi="宋体" w:cs="宋体" w:eastAsia="宋体"/>
                <w:sz w:val="24"/>
              </w:rPr>
              <w:t>灭菌时间</w:t>
            </w:r>
            <w:r>
              <w:rPr>
                <w:rFonts w:ascii="宋体" w:hAnsi="宋体" w:cs="宋体" w:eastAsia="宋体"/>
                <w:sz w:val="24"/>
              </w:rPr>
              <w:t>:0～9999可设置</w:t>
            </w:r>
          </w:p>
          <w:p>
            <w:pPr>
              <w:pStyle w:val="null3"/>
              <w:jc w:val="both"/>
            </w:pPr>
            <w:r>
              <w:rPr>
                <w:rFonts w:ascii="宋体" w:hAnsi="宋体" w:cs="宋体" w:eastAsia="宋体"/>
                <w:sz w:val="24"/>
              </w:rPr>
              <w:t>10.</w:t>
            </w:r>
            <w:r>
              <w:rPr>
                <w:rFonts w:ascii="宋体" w:hAnsi="宋体" w:cs="宋体" w:eastAsia="宋体"/>
                <w:sz w:val="24"/>
              </w:rPr>
              <w:t>干燥时间：</w:t>
            </w:r>
            <w:r>
              <w:rPr>
                <w:rFonts w:ascii="宋体" w:hAnsi="宋体" w:cs="宋体" w:eastAsia="宋体"/>
                <w:sz w:val="24"/>
              </w:rPr>
              <w:t>0～9999可设置</w:t>
            </w:r>
          </w:p>
          <w:p>
            <w:pPr>
              <w:pStyle w:val="null3"/>
              <w:jc w:val="both"/>
            </w:pPr>
            <w:r>
              <w:rPr>
                <w:rFonts w:ascii="宋体" w:hAnsi="宋体" w:cs="宋体" w:eastAsia="宋体"/>
                <w:sz w:val="24"/>
              </w:rPr>
              <w:t>11.</w:t>
            </w:r>
            <w:r>
              <w:rPr>
                <w:rFonts w:ascii="宋体" w:hAnsi="宋体" w:cs="宋体" w:eastAsia="宋体"/>
                <w:sz w:val="24"/>
              </w:rPr>
              <w:t>主体设计压力：</w:t>
            </w:r>
            <w:r>
              <w:rPr>
                <w:rFonts w:ascii="宋体" w:hAnsi="宋体" w:cs="宋体" w:eastAsia="宋体"/>
                <w:sz w:val="24"/>
              </w:rPr>
              <w:t>0.35Mpa，</w:t>
            </w:r>
            <w:r>
              <w:rPr>
                <w:rFonts w:ascii="宋体" w:hAnsi="宋体" w:cs="宋体" w:eastAsia="宋体"/>
                <w:sz w:val="24"/>
              </w:rPr>
              <w:t>最高工作压力：</w:t>
            </w:r>
            <w:r>
              <w:rPr>
                <w:rFonts w:ascii="宋体" w:hAnsi="宋体" w:cs="宋体" w:eastAsia="宋体"/>
                <w:sz w:val="24"/>
              </w:rPr>
              <w:t>≥0.25Mpa</w:t>
            </w:r>
          </w:p>
          <w:p>
            <w:pPr>
              <w:pStyle w:val="null3"/>
              <w:jc w:val="both"/>
            </w:pPr>
            <w:r>
              <w:rPr>
                <w:rFonts w:ascii="宋体" w:hAnsi="宋体" w:cs="宋体" w:eastAsia="宋体"/>
                <w:color w:val="000000"/>
                <w:sz w:val="24"/>
              </w:rPr>
              <w:t>12.</w:t>
            </w:r>
            <w:r>
              <w:rPr>
                <w:rFonts w:ascii="宋体" w:hAnsi="宋体" w:cs="宋体" w:eastAsia="宋体"/>
                <w:color w:val="000000"/>
                <w:sz w:val="24"/>
              </w:rPr>
              <w:t>温度：设计温度</w:t>
            </w:r>
            <w:r>
              <w:rPr>
                <w:rFonts w:ascii="宋体" w:hAnsi="宋体" w:cs="宋体" w:eastAsia="宋体"/>
                <w:color w:val="000000"/>
                <w:sz w:val="24"/>
              </w:rPr>
              <w:t>150℃  工作温度132～138℃（可调）</w:t>
            </w:r>
          </w:p>
          <w:p>
            <w:pPr>
              <w:pStyle w:val="null3"/>
              <w:jc w:val="both"/>
            </w:pPr>
            <w:r>
              <w:rPr>
                <w:rFonts w:ascii="宋体" w:hAnsi="宋体" w:cs="宋体" w:eastAsia="宋体"/>
                <w:sz w:val="24"/>
              </w:rPr>
              <w:t>13.</w:t>
            </w:r>
            <w:r>
              <w:rPr>
                <w:rFonts w:ascii="宋体" w:hAnsi="宋体" w:cs="宋体" w:eastAsia="宋体"/>
                <w:sz w:val="24"/>
              </w:rPr>
              <w:t>程序运行时间：标准循环程序</w:t>
            </w:r>
            <w:r>
              <w:rPr>
                <w:rFonts w:ascii="宋体" w:hAnsi="宋体" w:cs="宋体" w:eastAsia="宋体"/>
                <w:sz w:val="24"/>
              </w:rPr>
              <w:t>≤60分钟</w:t>
            </w:r>
          </w:p>
          <w:p>
            <w:pPr>
              <w:pStyle w:val="null3"/>
              <w:jc w:val="both"/>
            </w:pPr>
            <w:r>
              <w:rPr>
                <w:rFonts w:ascii="宋体" w:hAnsi="宋体" w:cs="宋体" w:eastAsia="宋体"/>
                <w:sz w:val="24"/>
              </w:rPr>
              <w:t>14.</w:t>
            </w:r>
            <w:r>
              <w:rPr>
                <w:rFonts w:ascii="宋体" w:hAnsi="宋体" w:cs="宋体" w:eastAsia="宋体"/>
                <w:sz w:val="24"/>
              </w:rPr>
              <w:t>安全联锁：设备带有安全联锁装置，带有鉴定证书，保证只有门关闭到位，电源才能接通加热并产生蒸汽，灭菌内室有正压或负压均无法开门</w:t>
            </w:r>
          </w:p>
          <w:p>
            <w:pPr>
              <w:pStyle w:val="null3"/>
              <w:jc w:val="both"/>
            </w:pPr>
            <w:r>
              <w:rPr>
                <w:rFonts w:ascii="宋体" w:hAnsi="宋体" w:cs="宋体" w:eastAsia="宋体"/>
                <w:sz w:val="24"/>
              </w:rPr>
              <w:t>15.</w:t>
            </w:r>
            <w:r>
              <w:rPr>
                <w:rFonts w:ascii="宋体" w:hAnsi="宋体" w:cs="宋体" w:eastAsia="宋体"/>
                <w:sz w:val="24"/>
              </w:rPr>
              <w:t>极限真空度</w:t>
            </w:r>
            <w:r>
              <w:rPr>
                <w:rFonts w:ascii="宋体" w:hAnsi="宋体" w:cs="宋体" w:eastAsia="宋体"/>
                <w:sz w:val="24"/>
              </w:rPr>
              <w:t>:≥-0.097Mpa</w:t>
            </w:r>
          </w:p>
          <w:p>
            <w:pPr>
              <w:pStyle w:val="null3"/>
              <w:jc w:val="both"/>
            </w:pPr>
            <w:r>
              <w:rPr>
                <w:rFonts w:ascii="宋体" w:hAnsi="宋体" w:cs="宋体" w:eastAsia="宋体"/>
                <w:sz w:val="24"/>
              </w:rPr>
              <w:t>16.焊接工艺：全自动焊接机器人焊接，氩气保护，自动控制无过烧现象（提供实物照佐证）</w:t>
            </w:r>
          </w:p>
          <w:p>
            <w:pPr>
              <w:pStyle w:val="null3"/>
              <w:jc w:val="both"/>
            </w:pPr>
            <w:r>
              <w:rPr>
                <w:rFonts w:ascii="宋体" w:hAnsi="宋体" w:cs="宋体" w:eastAsia="宋体"/>
                <w:sz w:val="24"/>
              </w:rPr>
              <w:t>17.材质：</w:t>
            </w:r>
            <w:r>
              <w:rPr>
                <w:rFonts w:ascii="宋体" w:hAnsi="宋体" w:cs="宋体" w:eastAsia="宋体"/>
                <w:sz w:val="24"/>
              </w:rPr>
              <w:t>内壳采用</w:t>
            </w:r>
            <w:r>
              <w:rPr>
                <w:rFonts w:ascii="宋体" w:hAnsi="宋体" w:cs="宋体" w:eastAsia="宋体"/>
                <w:sz w:val="24"/>
              </w:rPr>
              <w:t>δ≥6㎜厚的优质SUS304不锈钢板材制作；夹套采用δ=8㎜厚的 Q235-B钢板；门板采用δ≥10㎜厚的优质SUS304不锈钢</w:t>
            </w:r>
          </w:p>
          <w:p>
            <w:pPr>
              <w:pStyle w:val="null3"/>
              <w:jc w:val="both"/>
            </w:pPr>
            <w:r>
              <w:rPr>
                <w:rFonts w:ascii="宋体" w:hAnsi="宋体" w:cs="宋体" w:eastAsia="宋体"/>
                <w:sz w:val="24"/>
              </w:rPr>
              <w:t>18.使用寿命：</w:t>
            </w:r>
            <w:r>
              <w:rPr>
                <w:rFonts w:ascii="宋体" w:hAnsi="宋体" w:cs="宋体" w:eastAsia="宋体"/>
                <w:sz w:val="24"/>
              </w:rPr>
              <w:t>≥10年，2万次灭菌循环</w:t>
            </w:r>
          </w:p>
          <w:p>
            <w:pPr>
              <w:pStyle w:val="null3"/>
              <w:jc w:val="both"/>
            </w:pPr>
            <w:r>
              <w:rPr>
                <w:rFonts w:ascii="宋体" w:hAnsi="宋体" w:cs="宋体" w:eastAsia="宋体"/>
                <w:color w:val="000000"/>
                <w:sz w:val="24"/>
              </w:rPr>
              <w:t>19.</w:t>
            </w:r>
            <w:r>
              <w:rPr>
                <w:rFonts w:ascii="宋体" w:hAnsi="宋体" w:cs="宋体" w:eastAsia="宋体"/>
                <w:sz w:val="24"/>
              </w:rPr>
              <w:t>密封门：</w:t>
            </w:r>
            <w:r>
              <w:rPr>
                <w:rFonts w:ascii="宋体" w:hAnsi="宋体" w:cs="宋体" w:eastAsia="宋体"/>
                <w:sz w:val="24"/>
              </w:rPr>
              <w:t>双门、机械快开门设计、气动密封结构，带压力安全联锁装置（提供证书及彩页佐证）</w:t>
            </w:r>
          </w:p>
          <w:p>
            <w:pPr>
              <w:pStyle w:val="null3"/>
              <w:jc w:val="both"/>
            </w:pPr>
            <w:r>
              <w:rPr>
                <w:rFonts w:ascii="宋体" w:hAnsi="宋体" w:cs="宋体" w:eastAsia="宋体"/>
                <w:sz w:val="24"/>
              </w:rPr>
              <w:t>20.门限位保护：门在开关运行过程中，检测异常显示故障报警并自动退出运行程序</w:t>
            </w:r>
          </w:p>
          <w:p>
            <w:pPr>
              <w:pStyle w:val="null3"/>
              <w:jc w:val="both"/>
            </w:pPr>
            <w:r>
              <w:rPr>
                <w:rFonts w:ascii="宋体" w:hAnsi="宋体" w:cs="宋体" w:eastAsia="宋体"/>
                <w:color w:val="000000"/>
                <w:sz w:val="24"/>
              </w:rPr>
              <w:t>21.</w:t>
            </w:r>
            <w:r>
              <w:rPr>
                <w:rFonts w:ascii="宋体" w:hAnsi="宋体" w:cs="宋体" w:eastAsia="宋体"/>
                <w:sz w:val="24"/>
              </w:rPr>
              <w:t>针式打印机</w:t>
            </w:r>
            <w:r>
              <w:rPr>
                <w:rFonts w:ascii="宋体" w:hAnsi="宋体" w:cs="宋体" w:eastAsia="宋体"/>
                <w:sz w:val="24"/>
              </w:rPr>
              <w:t>：</w:t>
            </w:r>
            <w:r>
              <w:rPr>
                <w:rFonts w:ascii="宋体" w:hAnsi="宋体" w:cs="宋体" w:eastAsia="宋体"/>
                <w:sz w:val="24"/>
              </w:rPr>
              <w:t>中文数据打印</w:t>
            </w:r>
            <w:r>
              <w:rPr>
                <w:rFonts w:ascii="宋体" w:hAnsi="宋体" w:cs="宋体" w:eastAsia="宋体"/>
                <w:sz w:val="24"/>
              </w:rPr>
              <w:t>,记录灭菌过程的温度压力,消毒物品,灭菌时间,可永久保存打印记录</w:t>
            </w:r>
          </w:p>
          <w:p>
            <w:pPr>
              <w:pStyle w:val="null3"/>
              <w:jc w:val="both"/>
            </w:pPr>
            <w:r>
              <w:rPr>
                <w:rFonts w:ascii="宋体" w:hAnsi="宋体" w:cs="宋体" w:eastAsia="宋体"/>
                <w:sz w:val="24"/>
              </w:rPr>
              <w:t>22.主控制系统：PLC控制并配有</w:t>
            </w:r>
            <w:r>
              <w:rPr>
                <w:rFonts w:ascii="宋体" w:hAnsi="宋体" w:cs="宋体" w:eastAsia="宋体"/>
                <w:sz w:val="24"/>
              </w:rPr>
              <w:t>≥</w:t>
            </w:r>
            <w:r>
              <w:rPr>
                <w:rFonts w:ascii="宋体" w:hAnsi="宋体" w:cs="宋体" w:eastAsia="宋体"/>
                <w:sz w:val="24"/>
              </w:rPr>
              <w:t>7</w:t>
            </w:r>
            <w:r>
              <w:rPr>
                <w:rFonts w:ascii="宋体" w:hAnsi="宋体" w:cs="宋体" w:eastAsia="宋体"/>
                <w:color w:val="000000"/>
                <w:sz w:val="24"/>
              </w:rPr>
              <w:t>英</w:t>
            </w:r>
            <w:r>
              <w:rPr>
                <w:rFonts w:ascii="宋体" w:hAnsi="宋体" w:cs="宋体" w:eastAsia="宋体"/>
                <w:sz w:val="24"/>
              </w:rPr>
              <w:t>寸彩色真彩</w:t>
            </w:r>
            <w:r>
              <w:rPr>
                <w:rFonts w:ascii="宋体" w:hAnsi="宋体" w:cs="宋体" w:eastAsia="宋体"/>
                <w:sz w:val="24"/>
              </w:rPr>
              <w:t>触摸屏</w:t>
            </w:r>
            <w:r>
              <w:rPr>
                <w:rFonts w:ascii="宋体" w:hAnsi="宋体" w:cs="宋体" w:eastAsia="宋体"/>
                <w:sz w:val="24"/>
              </w:rPr>
              <w:t>人机操作界面，灭菌程序的压力、温度、时间等参数可根据需要自行设定。包含器械程序、敷料程序、液体程序、</w:t>
            </w:r>
            <w:r>
              <w:rPr>
                <w:rFonts w:ascii="宋体" w:hAnsi="宋体" w:cs="宋体" w:eastAsia="宋体"/>
                <w:sz w:val="24"/>
              </w:rPr>
              <w:t>BD 试验、PCD程序、重负载程序、机器预热程序、真空测漏程序及二套自定义程序</w:t>
            </w:r>
          </w:p>
          <w:p>
            <w:pPr>
              <w:pStyle w:val="null3"/>
              <w:jc w:val="both"/>
            </w:pPr>
            <w:r>
              <w:rPr>
                <w:rFonts w:ascii="宋体" w:hAnsi="宋体" w:cs="宋体" w:eastAsia="宋体"/>
                <w:sz w:val="24"/>
              </w:rPr>
              <w:t>23.信息接口：设备留有开放式接口可与任何品牌信息管理追溯系统软件连接</w:t>
            </w:r>
          </w:p>
          <w:p>
            <w:pPr>
              <w:pStyle w:val="null3"/>
              <w:jc w:val="both"/>
            </w:pPr>
            <w:r>
              <w:rPr>
                <w:rFonts w:ascii="宋体" w:hAnsi="宋体" w:cs="宋体" w:eastAsia="宋体"/>
                <w:sz w:val="24"/>
              </w:rPr>
              <w:t>24.报警信息：程序运行过程中相关关键报警信息，在触摸屏上显示，并可在打印纸上打印</w:t>
            </w:r>
          </w:p>
          <w:p>
            <w:pPr>
              <w:pStyle w:val="null3"/>
              <w:jc w:val="both"/>
            </w:pPr>
            <w:r>
              <w:rPr>
                <w:rFonts w:ascii="宋体" w:hAnsi="宋体" w:cs="宋体" w:eastAsia="宋体"/>
                <w:sz w:val="24"/>
              </w:rPr>
              <w:t>25.权限管理：触摸屏上可设置管理员和权限管理</w:t>
            </w:r>
          </w:p>
          <w:p>
            <w:pPr>
              <w:pStyle w:val="null3"/>
              <w:jc w:val="both"/>
            </w:pPr>
            <w:r>
              <w:rPr>
                <w:rFonts w:ascii="宋体" w:hAnsi="宋体" w:cs="宋体" w:eastAsia="宋体"/>
                <w:sz w:val="24"/>
              </w:rPr>
              <w:t>26.真空泵：采用直联式水环真空泵</w:t>
            </w:r>
          </w:p>
          <w:p>
            <w:pPr>
              <w:pStyle w:val="null3"/>
              <w:jc w:val="both"/>
            </w:pPr>
            <w:r>
              <w:rPr>
                <w:rFonts w:ascii="宋体" w:hAnsi="宋体" w:cs="宋体" w:eastAsia="宋体"/>
                <w:sz w:val="24"/>
              </w:rPr>
              <w:t>27.控制阀：角座式气动阀400万次无故障运行、电磁阀</w:t>
            </w:r>
          </w:p>
          <w:p>
            <w:pPr>
              <w:pStyle w:val="null3"/>
              <w:jc w:val="both"/>
            </w:pPr>
            <w:r>
              <w:rPr>
                <w:rFonts w:ascii="宋体" w:hAnsi="宋体" w:cs="宋体" w:eastAsia="宋体"/>
                <w:sz w:val="24"/>
              </w:rPr>
              <w:t>28.换热装置：均采用板式冷凝器（提供照片证明）</w:t>
            </w:r>
          </w:p>
          <w:p>
            <w:pPr>
              <w:pStyle w:val="null3"/>
              <w:jc w:val="both"/>
            </w:pPr>
            <w:r>
              <w:rPr>
                <w:rFonts w:ascii="宋体" w:hAnsi="宋体" w:cs="宋体" w:eastAsia="宋体"/>
                <w:sz w:val="24"/>
              </w:rPr>
              <w:t>29.设备保温要求：灭菌器主体和密封门必须有良好保温措施，其表层温度不得≤45℃；排水温度要≤65度</w:t>
            </w:r>
          </w:p>
          <w:p>
            <w:pPr>
              <w:pStyle w:val="null3"/>
              <w:jc w:val="both"/>
            </w:pPr>
            <w:r>
              <w:rPr>
                <w:rFonts w:ascii="宋体" w:hAnsi="宋体" w:cs="宋体" w:eastAsia="宋体"/>
                <w:sz w:val="24"/>
              </w:rPr>
              <w:t>30.密封：M型的硅胶密封圈密封</w:t>
            </w:r>
          </w:p>
          <w:p>
            <w:pPr>
              <w:pStyle w:val="null3"/>
              <w:jc w:val="both"/>
            </w:pPr>
            <w:r>
              <w:rPr>
                <w:rFonts w:ascii="宋体" w:hAnsi="宋体" w:cs="宋体" w:eastAsia="宋体"/>
                <w:sz w:val="24"/>
              </w:rPr>
              <w:t>31.管路要求：管路连接采用焊接方式、卫生级管路、内外抛光卡箍式连接方式</w:t>
            </w:r>
          </w:p>
          <w:p>
            <w:pPr>
              <w:pStyle w:val="null3"/>
              <w:ind w:right="-210"/>
              <w:jc w:val="both"/>
            </w:pPr>
            <w:r>
              <w:rPr>
                <w:rFonts w:ascii="宋体" w:hAnsi="宋体" w:cs="宋体" w:eastAsia="宋体"/>
                <w:sz w:val="24"/>
              </w:rPr>
              <w:t>32..装卸推车：灭菌内车通过装卸载车进入灭菌室</w:t>
            </w:r>
            <w:r>
              <w:rPr>
                <w:rFonts w:ascii="宋体" w:hAnsi="宋体" w:cs="宋体" w:eastAsia="宋体"/>
                <w:sz w:val="24"/>
              </w:rPr>
              <w:t>。</w:t>
            </w:r>
            <w:r>
              <w:rPr>
                <w:rFonts w:ascii="宋体" w:hAnsi="宋体" w:cs="宋体" w:eastAsia="宋体"/>
                <w:sz w:val="24"/>
              </w:rPr>
              <w:t>每台设备配置装卸载外车</w:t>
            </w:r>
            <w:r>
              <w:rPr>
                <w:rFonts w:ascii="宋体" w:hAnsi="宋体" w:cs="宋体" w:eastAsia="宋体"/>
                <w:sz w:val="24"/>
              </w:rPr>
              <w:t>2辆、灭菌内车1辆</w:t>
            </w:r>
          </w:p>
          <w:p>
            <w:pPr>
              <w:pStyle w:val="null3"/>
              <w:jc w:val="both"/>
            </w:pPr>
            <w:r>
              <w:rPr>
                <w:rFonts w:ascii="宋体" w:hAnsi="宋体" w:cs="宋体" w:eastAsia="宋体"/>
                <w:sz w:val="24"/>
              </w:rPr>
              <w:t>33．资质要求：生产厂家必须具备D1级压力容器设计资质和D1、D2级压力容器制造资质</w:t>
            </w:r>
            <w:r>
              <w:rPr>
                <w:rFonts w:ascii="宋体" w:hAnsi="宋体" w:cs="宋体" w:eastAsia="宋体"/>
                <w:sz w:val="24"/>
              </w:rPr>
              <w:t>，提供检测报告</w:t>
            </w:r>
          </w:p>
          <w:p>
            <w:pPr>
              <w:pStyle w:val="null3"/>
              <w:jc w:val="left"/>
            </w:pPr>
            <w:r>
              <w:rPr>
                <w:rFonts w:ascii="宋体" w:hAnsi="宋体" w:cs="宋体" w:eastAsia="宋体"/>
                <w:color w:val="000000"/>
                <w:sz w:val="24"/>
              </w:rPr>
              <w:t>附属产品：</w:t>
            </w:r>
          </w:p>
          <w:p>
            <w:pPr>
              <w:pStyle w:val="null3"/>
              <w:jc w:val="left"/>
            </w:pPr>
            <w:r>
              <w:rPr>
                <w:rFonts w:ascii="宋体" w:hAnsi="宋体" w:cs="宋体" w:eastAsia="宋体"/>
                <w:color w:val="000000"/>
                <w:sz w:val="24"/>
              </w:rPr>
              <w:t>纯水处理系统（</w:t>
            </w:r>
            <w:r>
              <w:rPr>
                <w:rFonts w:ascii="宋体" w:hAnsi="宋体" w:cs="宋体" w:eastAsia="宋体"/>
                <w:color w:val="000000"/>
                <w:sz w:val="24"/>
              </w:rPr>
              <w:t>1台）：</w:t>
            </w:r>
          </w:p>
          <w:p>
            <w:pPr>
              <w:pStyle w:val="null3"/>
              <w:jc w:val="left"/>
            </w:pPr>
            <w:r>
              <w:rPr>
                <w:rFonts w:ascii="宋体" w:hAnsi="宋体" w:cs="宋体" w:eastAsia="宋体"/>
                <w:color w:val="000000"/>
                <w:sz w:val="24"/>
              </w:rPr>
              <w:t>1.用于消毒供应清洗</w:t>
            </w:r>
          </w:p>
          <w:p>
            <w:pPr>
              <w:pStyle w:val="null3"/>
              <w:jc w:val="left"/>
            </w:pPr>
            <w:r>
              <w:rPr>
                <w:rFonts w:ascii="宋体" w:hAnsi="宋体" w:cs="宋体" w:eastAsia="宋体"/>
                <w:color w:val="000000"/>
                <w:sz w:val="24"/>
              </w:rPr>
              <w:t xml:space="preserve">2.产水量：≥1500L/h/套  </w:t>
            </w:r>
          </w:p>
          <w:p>
            <w:pPr>
              <w:pStyle w:val="null3"/>
              <w:jc w:val="left"/>
            </w:pPr>
            <w:r>
              <w:rPr>
                <w:rFonts w:ascii="宋体" w:hAnsi="宋体" w:cs="宋体" w:eastAsia="宋体"/>
                <w:color w:val="000000"/>
                <w:sz w:val="24"/>
              </w:rPr>
              <w:t>3.水利用率：≥70%；脱盐率：≥ 99%</w:t>
            </w:r>
          </w:p>
          <w:p>
            <w:pPr>
              <w:pStyle w:val="null3"/>
              <w:jc w:val="left"/>
            </w:pPr>
            <w:r>
              <w:rPr>
                <w:rFonts w:ascii="宋体" w:hAnsi="宋体" w:cs="宋体" w:eastAsia="宋体"/>
                <w:color w:val="000000"/>
                <w:sz w:val="24"/>
              </w:rPr>
              <w:t>4.产水水质：处理方式：单级反渗透，滤膜孔径≤0.1um；纯水电导率：≤15μS/cm （25℃） 细菌数≤10CFU/100ml；</w:t>
            </w:r>
          </w:p>
          <w:p>
            <w:pPr>
              <w:pStyle w:val="null3"/>
              <w:jc w:val="left"/>
            </w:pPr>
            <w:r>
              <w:rPr>
                <w:rFonts w:ascii="宋体" w:hAnsi="宋体" w:cs="宋体" w:eastAsia="宋体"/>
                <w:color w:val="000000"/>
                <w:sz w:val="24"/>
              </w:rPr>
              <w:t>5.设备主要技术要求/标准性能：全自动运行控制，自动开停；预处理系统全自动冲洗及再生运行；反渗主机具有自动脉冲冲洗功能配备全自动紫外消毒杀菌系统；具备无水保护，压力保护等多种安全自锁装置 ；多功能监测可实现水质、流量、压力等在线显示；软水、纯水具有独立的供水管路，可分别多点取水</w:t>
            </w:r>
          </w:p>
          <w:p>
            <w:pPr>
              <w:pStyle w:val="null3"/>
              <w:jc w:val="left"/>
            </w:pPr>
            <w:r>
              <w:rPr>
                <w:rFonts w:ascii="宋体" w:hAnsi="宋体" w:cs="宋体" w:eastAsia="宋体"/>
                <w:color w:val="000000"/>
                <w:sz w:val="24"/>
              </w:rPr>
              <w:t>6.带软水接口</w:t>
            </w:r>
          </w:p>
          <w:p>
            <w:pPr>
              <w:pStyle w:val="null3"/>
              <w:jc w:val="left"/>
            </w:pPr>
            <w:r>
              <w:rPr>
                <w:rFonts w:ascii="宋体" w:hAnsi="宋体" w:cs="宋体" w:eastAsia="宋体"/>
                <w:color w:val="000000"/>
                <w:sz w:val="24"/>
              </w:rPr>
              <w:t>7.控制方式：采用继电器控制、按键操作，在线显示电导率</w:t>
            </w:r>
          </w:p>
          <w:p>
            <w:pPr>
              <w:pStyle w:val="null3"/>
              <w:jc w:val="left"/>
            </w:pPr>
            <w:r>
              <w:rPr>
                <w:rFonts w:ascii="宋体" w:hAnsi="宋体" w:cs="宋体" w:eastAsia="宋体"/>
                <w:color w:val="000000"/>
                <w:sz w:val="24"/>
              </w:rPr>
              <w:t>8.组成：该水处理设备由预处理系统、反渗透主机及纯水供水系统组成</w:t>
            </w:r>
          </w:p>
          <w:p>
            <w:pPr>
              <w:pStyle w:val="null3"/>
              <w:jc w:val="left"/>
            </w:pPr>
            <w:r>
              <w:rPr>
                <w:rFonts w:ascii="宋体" w:hAnsi="宋体" w:cs="宋体" w:eastAsia="宋体"/>
                <w:color w:val="000000"/>
                <w:sz w:val="24"/>
              </w:rPr>
              <w:t>9.预处理系统：预处理系统由软化过滤器、保安过滤器组成；软化过滤器：滤料为软化树脂，流量≥3m³/h采用多介质处理系统（石英砂、活性炭）、树脂罐全自动再生控制阀</w:t>
            </w:r>
          </w:p>
          <w:p>
            <w:pPr>
              <w:pStyle w:val="null3"/>
              <w:jc w:val="left"/>
            </w:pPr>
            <w:r>
              <w:rPr>
                <w:rFonts w:ascii="宋体" w:hAnsi="宋体" w:cs="宋体" w:eastAsia="宋体"/>
                <w:color w:val="000000"/>
                <w:sz w:val="24"/>
              </w:rPr>
              <w:t>10.反渗透系统：处理方式：单级反渗透 （符合GB5749规定）；高压泵要求：流量≥3 m³/h、扬程≥ 60m；膜元件要求；脱盐率≥99%、膜片类型为：芳香族聚酰胺复合膜产水量为≥1.5 t/h/支膜元件套</w:t>
            </w:r>
          </w:p>
          <w:p>
            <w:pPr>
              <w:pStyle w:val="null3"/>
              <w:jc w:val="left"/>
            </w:pPr>
            <w:r>
              <w:rPr>
                <w:rFonts w:ascii="宋体" w:hAnsi="宋体" w:cs="宋体" w:eastAsia="宋体"/>
                <w:color w:val="000000"/>
                <w:sz w:val="24"/>
              </w:rPr>
              <w:t>11.纯水供水系统：由≥1500L PE储水箱及纯水泵等组成；纯水泵要求：材质为不锈钢，流量≥3m³/h、扬程≥60m；供水同时受水箱液位或原水低压开关的双重控制；系统管道：U-PVC</w:t>
            </w:r>
          </w:p>
          <w:p>
            <w:pPr>
              <w:pStyle w:val="null3"/>
              <w:jc w:val="left"/>
            </w:pPr>
            <w:r>
              <w:rPr>
                <w:rFonts w:ascii="宋体" w:hAnsi="宋体" w:cs="宋体" w:eastAsia="宋体"/>
                <w:color w:val="000000"/>
                <w:sz w:val="24"/>
              </w:rPr>
              <w:t>12.水、电耗量：耗水量：≤1500L/h；设备功率：≤5.5KW(380V、50Hz)；供水压力：0.2MPa～0.4MPa；进水水温：5～35℃ ；最高工作压力：1.3MPa</w:t>
            </w:r>
          </w:p>
          <w:p>
            <w:pPr>
              <w:pStyle w:val="null3"/>
              <w:jc w:val="left"/>
            </w:pPr>
            <w:r>
              <w:rPr>
                <w:rFonts w:ascii="宋体" w:hAnsi="宋体" w:cs="宋体" w:eastAsia="宋体"/>
                <w:color w:val="000000"/>
                <w:sz w:val="24"/>
              </w:rPr>
              <w:t>13.其他要求：系统采用≥7英寸触摸屏，微电脑控制，具备防误操作密码防控系统、系统流程、工作状态、多点水质显示、累计时间及水质报警等功能</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合同签订后30个工作日内完成货物的配送、安装、调试工作</w:t>
      </w:r>
    </w:p>
    <w:p>
      <w:pPr>
        <w:pStyle w:val="null3"/>
        <w:outlineLvl w:val="3"/>
      </w:pPr>
      <w:r>
        <w:rPr>
          <w:b/>
          <w:sz w:val="24"/>
        </w:rPr>
        <w:t>3.4.2交货地点和方式</w:t>
      </w:r>
    </w:p>
    <w:p>
      <w:pPr>
        <w:pStyle w:val="null3"/>
      </w:pPr>
      <w:r>
        <w:rPr/>
        <w:t>采购包1：</w:t>
      </w:r>
    </w:p>
    <w:p>
      <w:pPr>
        <w:pStyle w:val="null3"/>
      </w:pPr>
      <w:r>
        <w:rPr/>
        <w:t>铜川市耀州区人民医院</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合同签订后，产品到货、安装、验收合格后一年内</w:t>
      </w:r>
      <w:r>
        <w:rPr/>
        <w:t xml:space="preserve"> ，达到付款条件起 </w:t>
      </w:r>
      <w:r>
        <w:rPr/>
        <w:t>30</w:t>
      </w:r>
      <w:r>
        <w:rPr/>
        <w:t xml:space="preserve"> 日内，支付合同总金额的 </w:t>
      </w:r>
      <w:r>
        <w:rPr/>
        <w:t>35.00</w:t>
      </w:r>
      <w:r>
        <w:rPr/>
        <w:t>%。</w:t>
      </w:r>
    </w:p>
    <w:p>
      <w:pPr>
        <w:pStyle w:val="null3"/>
      </w:pPr>
      <w:r>
        <w:rPr/>
        <w:t>采购包1：</w:t>
      </w:r>
      <w:r>
        <w:rPr/>
        <w:t xml:space="preserve"> 付款条件说明： </w:t>
      </w:r>
      <w:r>
        <w:rPr/>
        <w:t>产品到货、安装、验收合格后两年内</w:t>
      </w:r>
      <w:r>
        <w:rPr/>
        <w:t xml:space="preserve"> ，达到付款条件起 </w:t>
      </w:r>
      <w:r>
        <w:rPr/>
        <w:t>30</w:t>
      </w:r>
      <w:r>
        <w:rPr/>
        <w:t xml:space="preserve"> 日内，支付合同总金额的 </w:t>
      </w:r>
      <w:r>
        <w:rPr/>
        <w:t>35.00</w:t>
      </w:r>
      <w:r>
        <w:rPr/>
        <w:t>%。</w:t>
      </w:r>
    </w:p>
    <w:p>
      <w:pPr>
        <w:pStyle w:val="null3"/>
      </w:pPr>
      <w:r>
        <w:rPr/>
        <w:t>采购包1：</w:t>
      </w:r>
      <w:r>
        <w:rPr/>
        <w:t xml:space="preserve"> 付款条件说明： </w:t>
      </w:r>
      <w:r>
        <w:rPr/>
        <w:t>产品到货、安装、验收合格后三年内</w:t>
      </w:r>
      <w:r>
        <w:rPr/>
        <w:t xml:space="preserve"> ，达到付款条件起 </w:t>
      </w:r>
      <w:r>
        <w:rPr/>
        <w:t>30</w:t>
      </w:r>
      <w:r>
        <w:rPr/>
        <w:t xml:space="preserve"> 日内，支付合同总金额的 </w:t>
      </w:r>
      <w:r>
        <w:rPr/>
        <w:t>30.00</w:t>
      </w:r>
      <w:r>
        <w:rPr/>
        <w:t>%。</w:t>
      </w:r>
    </w:p>
    <w:p>
      <w:pPr>
        <w:pStyle w:val="null3"/>
        <w:outlineLvl w:val="3"/>
      </w:pPr>
      <w:r>
        <w:rPr>
          <w:b/>
          <w:sz w:val="24"/>
        </w:rPr>
        <w:t>3.4.5验收标准和方法</w:t>
      </w:r>
    </w:p>
    <w:p>
      <w:pPr>
        <w:pStyle w:val="null3"/>
      </w:pPr>
      <w:r>
        <w:rPr/>
        <w:t>采购包1：</w:t>
      </w:r>
    </w:p>
    <w:p>
      <w:pPr>
        <w:pStyle w:val="null3"/>
      </w:pPr>
      <w:r>
        <w:rPr/>
        <w:t>详见合同文本</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详见合同文本</w:t>
      </w:r>
    </w:p>
    <w:p>
      <w:pPr>
        <w:pStyle w:val="null3"/>
        <w:outlineLvl w:val="3"/>
      </w:pPr>
      <w:r>
        <w:rPr>
          <w:b/>
          <w:sz w:val="24"/>
        </w:rPr>
        <w:t>3.4.8违约责任及解决争议的方法</w:t>
      </w:r>
    </w:p>
    <w:p>
      <w:pPr>
        <w:pStyle w:val="null3"/>
      </w:pPr>
      <w:r>
        <w:rPr/>
        <w:t>采购包1：</w:t>
      </w:r>
    </w:p>
    <w:p>
      <w:pPr>
        <w:pStyle w:val="null3"/>
      </w:pPr>
      <w:r>
        <w:rPr/>
        <w:t>详见合同文本</w:t>
      </w:r>
    </w:p>
    <w:p>
      <w:pPr>
        <w:pStyle w:val="null3"/>
        <w:jc w:val="left"/>
        <w:outlineLvl w:val="3"/>
      </w:pPr>
      <w:r>
        <w:rPr>
          <w:b/>
          <w:sz w:val="24"/>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经销商的应出具医疗器械经营许可证或二类医疗器械备案凭证（谈判产品须在其经营范围内）、谈判产品属于医疗器械管理的提供医疗器械注册证；供应商为制造厂家应出具医疗器械经营许可证或二类医疗器械备案凭证（谈判产品须在其经营范围内），并出具医疗器械生产许可证（谈判产品须在其生产范围内）、谈判产品属于医疗器械管理的提供医疗器械注册证</w:t>
            </w:r>
          </w:p>
        </w:tc>
        <w:tc>
          <w:tcPr>
            <w:tcW w:type="dxa" w:w="3322"/>
          </w:tcPr>
          <w:p>
            <w:pPr>
              <w:pStyle w:val="null3"/>
            </w:pPr>
            <w:r>
              <w:rPr/>
              <w:t>供应商为经销商的应出具医疗器械经营许可证或二类医疗器械备案凭证（谈判产品须在其经营范围内）、谈判产品属于医疗器械管理的提供医疗器械注册证；供应商为制造厂家应出具医疗器械经营许可证或二类医疗器械备案凭证（谈判产品须在其经营范围内），并出具医疗器械生产许可证（谈判产品须在其生产范围内）、谈判产品属于医疗器械管理的提供医疗器械注册证</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签署、盖章</w:t>
            </w:r>
          </w:p>
        </w:tc>
        <w:tc>
          <w:tcPr>
            <w:tcW w:type="dxa" w:w="3322"/>
          </w:tcPr>
          <w:p>
            <w:pPr>
              <w:pStyle w:val="null3"/>
            </w:pPr>
            <w:r>
              <w:rPr/>
              <w:t>响应文件按招标文件要求签署、盖章</w:t>
            </w:r>
          </w:p>
        </w:tc>
        <w:tc>
          <w:tcPr>
            <w:tcW w:type="dxa" w:w="1661"/>
          </w:tcPr>
          <w:p>
            <w:pPr>
              <w:pStyle w:val="null3"/>
            </w:pPr>
            <w:r>
              <w:rPr/>
              <w:t>响应文件封面 产品技术参数表 响应分项报价表 中小企业声明函 残疾人福利性单位声明函 商务应答表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响应报价未超出采购预算和最高限价</w:t>
            </w:r>
          </w:p>
        </w:tc>
        <w:tc>
          <w:tcPr>
            <w:tcW w:type="dxa" w:w="1661"/>
          </w:tcPr>
          <w:p>
            <w:pPr>
              <w:pStyle w:val="null3"/>
            </w:pPr>
            <w:r>
              <w:rPr/>
              <w:t>响应分项报价表 标的清单 报价表</w:t>
            </w:r>
          </w:p>
        </w:tc>
      </w:tr>
      <w:tr>
        <w:tc>
          <w:tcPr>
            <w:tcW w:type="dxa" w:w="831"/>
          </w:tcPr>
          <w:p>
            <w:pPr>
              <w:pStyle w:val="null3"/>
            </w:pPr>
            <w:r>
              <w:rPr/>
              <w:t>3</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响应分项报价表 标的清单 报价表</w:t>
            </w:r>
          </w:p>
        </w:tc>
      </w:tr>
      <w:tr>
        <w:tc>
          <w:tcPr>
            <w:tcW w:type="dxa" w:w="831"/>
          </w:tcPr>
          <w:p>
            <w:pPr>
              <w:pStyle w:val="null3"/>
            </w:pPr>
            <w:r>
              <w:rPr/>
              <w:t>4</w:t>
            </w:r>
          </w:p>
        </w:tc>
        <w:tc>
          <w:tcPr>
            <w:tcW w:type="dxa" w:w="2492"/>
          </w:tcPr>
          <w:p>
            <w:pPr>
              <w:pStyle w:val="null3"/>
            </w:pPr>
            <w:r>
              <w:rPr/>
              <w:t>拟签订的合同文本</w:t>
            </w:r>
          </w:p>
        </w:tc>
        <w:tc>
          <w:tcPr>
            <w:tcW w:type="dxa" w:w="3322"/>
          </w:tcPr>
          <w:p>
            <w:pPr>
              <w:pStyle w:val="null3"/>
            </w:pPr>
            <w:r>
              <w:rPr/>
              <w:t>响应文件对合同条款无实质性负偏离</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技术指标要求</w:t>
            </w:r>
          </w:p>
        </w:tc>
        <w:tc>
          <w:tcPr>
            <w:tcW w:type="dxa" w:w="3322"/>
          </w:tcPr>
          <w:p>
            <w:pPr>
              <w:pStyle w:val="null3"/>
            </w:pPr>
            <w:r>
              <w:rPr/>
              <w:t>响应文件中技术指标达到采购要求，未降低产品档次，未影响产品性能、功能</w:t>
            </w:r>
          </w:p>
        </w:tc>
        <w:tc>
          <w:tcPr>
            <w:tcW w:type="dxa" w:w="1661"/>
          </w:tcPr>
          <w:p>
            <w:pPr>
              <w:pStyle w:val="null3"/>
            </w:pPr>
            <w:r>
              <w:rPr/>
              <w:t>产品技术参数表</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详见附件：响应分项报价表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