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采购项目概况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铜川市耀州区市场监督管理局2024年食品安全抽检项目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其中普通食品抽检440批次，食用农产品抽检225批次</w:t>
      </w:r>
      <w:r>
        <w:rPr>
          <w:rFonts w:hint="eastAsia"/>
          <w:lang w:eastAsia="zh-CN"/>
        </w:rPr>
        <w:t>。本项目划分为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个采购包，分别为：采购包1（铜川市耀州区市场监督管理局2024年食品安全抽检项目（普通食品抽检）、采购包2（铜川市耀州区市场监督管理局2024年食品安全抽检项目（食用农产品抽检）。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2.本项目各包采购预算金额如下：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采购包1：491,100.00元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采购包2：258,900.00元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二、商务要求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1、服务期限：自合同签订之日起至2024年12月31日前。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2、检测地点：采购人指定地点。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其他内容详见采购文件</w:t>
      </w:r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31323FCE"/>
    <w:rsid w:val="21A4203E"/>
    <w:rsid w:val="31323FCE"/>
    <w:rsid w:val="337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2024-06-26T09:09:00Z</dcterms:created>
  <dc:creator>李</dc:creator>
  <cp:lastModifiedBy>李</cp:lastModifiedBy>
  <dcterms:modified xsi:type="dcterms:W3CDTF">2024-06-26T09:12:53Z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59F1515F9BD04C06AA4544859D9A6B16_11</vt:lpwstr>
  </property>
</Properties>
</file>