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版本号：JTZB2025-03220251020002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2023年铜川市耀州区3.5万亩高标准农田建设项目复核、审计、验收三方服务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JTZB2025-032</w:t>
      </w:r>
      <w:r>
        <w:br/>
      </w:r>
      <w:r>
        <w:br/>
      </w:r>
      <w:r>
        <w:br/>
      </w:r>
    </w:p>
    <w:p>
      <w:pPr>
        <w:pStyle w:val="null3"/>
        <w:jc w:val="center"/>
        <w:outlineLvl w:val="2"/>
      </w:pPr>
      <w:r>
        <w:rPr>
          <w:rFonts w:ascii="仿宋_GB2312" w:hAnsi="仿宋_GB2312" w:cs="仿宋_GB2312" w:eastAsia="仿宋_GB2312"/>
          <w:sz w:val="28"/>
          <w:b/>
        </w:rPr>
        <w:t>铜川市耀州区农业农村局</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铜川市耀州区农业农村局</w:t>
      </w:r>
      <w:r>
        <w:rPr>
          <w:rFonts w:ascii="仿宋_GB2312" w:hAnsi="仿宋_GB2312" w:cs="仿宋_GB2312" w:eastAsia="仿宋_GB2312"/>
        </w:rPr>
        <w:t>委托，拟对</w:t>
      </w:r>
      <w:r>
        <w:rPr>
          <w:rFonts w:ascii="仿宋_GB2312" w:hAnsi="仿宋_GB2312" w:cs="仿宋_GB2312" w:eastAsia="仿宋_GB2312"/>
        </w:rPr>
        <w:t>2023年铜川市耀州区3.5万亩高标准农田建设项目复核、审计、验收三方服务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JTZB2025-032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2023年铜川市耀州区3.5万亩高标准农田建设项目复核、审计、验收三方服务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本项目需提供 “复核、审计、验收” 全流程第三方专业服务，服务范围覆盖2023年铜川市耀州区 3.5 万亩高标准农田建设项目的全部建设内容； </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采购包1（2023年铜川市耀州区3.5万亩高标准农田建设项目复核、审计、验收三方服务）：属于专门面向小微企业采购。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3、财务状况报告：①提供近三年经审计任意一年的财务报告，包括“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4、税收缴纳证明：供应商须提供投标截止时间6个月内任意1个月的缴税证明（注：依法免税或零申报的供应商应提供相关文件证明）。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6、专业技术能力：供应商须提供具有履行合同所必需的设备和专业技术能力的承诺函(加盖供应商公章)。</w:t>
      </w:r>
    </w:p>
    <w:p>
      <w:pPr>
        <w:pStyle w:val="null3"/>
      </w:pPr>
      <w:r>
        <w:rPr>
          <w:rFonts w:ascii="仿宋_GB2312" w:hAnsi="仿宋_GB2312" w:cs="仿宋_GB2312" w:eastAsia="仿宋_GB2312"/>
        </w:rPr>
        <w:t>7、人员资质证书：项目负责人需持有一级造价工程师职业资格证书（证书专业需包含水利工程、注册单位须与投标单位一致，提供注册证书扫描件）提供在本单位缴纳的社会保险缴纳证明（本年度连续三个月及以上）。</w:t>
      </w:r>
    </w:p>
    <w:p>
      <w:pPr>
        <w:pStyle w:val="null3"/>
      </w:pPr>
      <w:r>
        <w:rPr>
          <w:rFonts w:ascii="仿宋_GB2312" w:hAnsi="仿宋_GB2312" w:cs="仿宋_GB2312" w:eastAsia="仿宋_GB2312"/>
        </w:rPr>
        <w:t>8、企业证明：供应商应具备良好的商业信誉，提供参加政府采购活动前3年内在经营活动中没有重大违法记录的书面声明（原件加盖供应商公章）。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9、信用中国：未在“信用中国” 网站（www.creditchina.gov. cn）、“ 中国政府采购网”（ccgp.gov.cn）列入失信被执行人、重大税收违法案件当事人名单、政府采购严重违法失信行为记录名单(提供网页截图并加盖供应商公章）。</w:t>
      </w:r>
    </w:p>
    <w:p>
      <w:pPr>
        <w:pStyle w:val="null3"/>
      </w:pPr>
      <w:r>
        <w:rPr>
          <w:rFonts w:ascii="仿宋_GB2312" w:hAnsi="仿宋_GB2312" w:cs="仿宋_GB2312" w:eastAsia="仿宋_GB2312"/>
        </w:rPr>
        <w:t>10、控股管理关系：单位负责人为同一人或者存在直接控股、管理关系的不同投标人，不得参加同一合同项下的政府采购活动（提供承诺书）。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11、本项目不接受联合体投标：本项目不接受联合体投标（提供书面声明材料）。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13399296565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18992987699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采购包1：486,600.00元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 [2002]1980号）和国家发展改革委员会办公厅颁发的《关于招标代理服务收费有关问题的通知》（发改办价格[2011]534号）的有关规定计取。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铜川市耀州区农业农村局</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严格按照磋商文件及业主要求参数进行验收，同时满足国家相关规范，规定要求。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联系电话：18992987699</w:t>
      </w:r>
    </w:p>
    <w:p>
      <w:pPr>
        <w:pStyle w:val="null3"/>
      </w:pPr>
      <w:r>
        <w:rPr>
          <w:rFonts w:ascii="仿宋_GB2312" w:hAnsi="仿宋_GB2312" w:cs="仿宋_GB2312" w:eastAsia="仿宋_GB2312"/>
        </w:rPr>
        <w:t>地址：陕西省西安市新城区石家街127号东岸国际17层1702室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本项目需提供 “复核、审计、验收” 全流程第三方专业服务，服务范围覆盖2023年铜川市耀州区 3.5 万亩高标准农田建设项目的全部建设内容。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486,600.00</w:t>
      </w:r>
    </w:p>
    <w:p>
      <w:pPr>
        <w:pStyle w:val="null3"/>
      </w:pPr>
      <w:r>
        <w:rPr>
          <w:rFonts w:ascii="仿宋_GB2312" w:hAnsi="仿宋_GB2312" w:cs="仿宋_GB2312" w:eastAsia="仿宋_GB2312"/>
        </w:rPr>
        <w:t>采购包最高限价（元）: 486,600.00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项目复核、审计、验收服务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486,600.00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标的名称：项目复核、审计、验收服务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05"/>
            </w:pPr>
            <w:r>
              <w:rPr>
                <w:rFonts w:ascii="仿宋_GB2312" w:hAnsi="仿宋_GB2312" w:cs="仿宋_GB2312" w:eastAsia="仿宋_GB2312"/>
                <w:sz w:val="21"/>
              </w:rPr>
              <w:t xml:space="preserve">   一、项目概况</w:t>
            </w:r>
          </w:p>
          <w:p>
            <w:pPr>
              <w:pStyle w:val="null3"/>
            </w:pPr>
            <w:r>
              <w:rPr>
                <w:rFonts w:ascii="仿宋_GB2312" w:hAnsi="仿宋_GB2312" w:cs="仿宋_GB2312" w:eastAsia="仿宋_GB2312"/>
                <w:sz w:val="21"/>
              </w:rPr>
              <w:t xml:space="preserve">   本项目需提供 “复核、审计、验收” 全流程第三方专业服务，服务范围覆盖2023年铜川市耀州区 3.5 万亩高标准农田建设项目的全部建设内容； </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二、工作依据</w:t>
            </w:r>
          </w:p>
          <w:p>
            <w:pPr>
              <w:pStyle w:val="null3"/>
            </w:pPr>
            <w:r>
              <w:rPr>
                <w:rFonts w:ascii="仿宋_GB2312" w:hAnsi="仿宋_GB2312" w:cs="仿宋_GB2312" w:eastAsia="仿宋_GB2312"/>
                <w:sz w:val="21"/>
              </w:rPr>
              <w:t xml:space="preserve">  《高标准农田建设通则》（GB/T30600-2022）</w:t>
            </w:r>
          </w:p>
          <w:p>
            <w:pPr>
              <w:pStyle w:val="null3"/>
            </w:pPr>
            <w:r>
              <w:rPr>
                <w:rFonts w:ascii="仿宋_GB2312" w:hAnsi="仿宋_GB2312" w:cs="仿宋_GB2312" w:eastAsia="仿宋_GB2312"/>
                <w:sz w:val="21"/>
              </w:rPr>
              <w:t xml:space="preserve">  《陕西省高标准基本农田建设项目和资金管理暂行办法》</w:t>
            </w:r>
          </w:p>
          <w:p>
            <w:pPr>
              <w:pStyle w:val="null3"/>
            </w:pPr>
            <w:r>
              <w:rPr>
                <w:rFonts w:ascii="仿宋_GB2312" w:hAnsi="仿宋_GB2312" w:cs="仿宋_GB2312" w:eastAsia="仿宋_GB2312"/>
                <w:sz w:val="21"/>
              </w:rPr>
              <w:t xml:space="preserve">  《2023年铜川市耀州区3.5万亩高标准农田建设项目实施方案》</w:t>
            </w:r>
          </w:p>
          <w:p>
            <w:pPr>
              <w:pStyle w:val="null3"/>
            </w:pPr>
            <w:r>
              <w:rPr>
                <w:rFonts w:ascii="仿宋_GB2312" w:hAnsi="仿宋_GB2312" w:cs="仿宋_GB2312" w:eastAsia="仿宋_GB2312"/>
                <w:sz w:val="21"/>
              </w:rPr>
              <w:t xml:space="preserve">   三、工作任务</w:t>
            </w:r>
            <w:r>
              <w:br/>
            </w:r>
            <w:r>
              <w:rPr>
                <w:rFonts w:ascii="仿宋_GB2312" w:hAnsi="仿宋_GB2312" w:cs="仿宋_GB2312" w:eastAsia="仿宋_GB2312"/>
                <w:sz w:val="21"/>
              </w:rPr>
              <w:t xml:space="preserve">          1、工程项目复核:依据项目实施方案及相关规范，对项目规划设计、设计变更等环节审批文件资料进行核验；对完工验收的单项工程进行数量及质量复核；对项目提交的工程资料完整性、符合性及一致性进行核查；编制项目工程复核报告。</w:t>
            </w:r>
            <w:r>
              <w:br/>
            </w:r>
            <w:r>
              <w:rPr>
                <w:rFonts w:ascii="仿宋_GB2312" w:hAnsi="仿宋_GB2312" w:cs="仿宋_GB2312" w:eastAsia="仿宋_GB2312"/>
                <w:sz w:val="21"/>
              </w:rPr>
              <w:t xml:space="preserve">          2、工程结算审计:对施工现场进行实地踏勘；审核实际工程量与送审的工程量是否一致；审核工程套用单价合理性，审核工程的变更情况是否合理、手续是否齐全；编制结算审核成果文件。</w:t>
            </w:r>
            <w:r>
              <w:br/>
            </w:r>
            <w:r>
              <w:rPr>
                <w:rFonts w:ascii="仿宋_GB2312" w:hAnsi="仿宋_GB2312" w:cs="仿宋_GB2312" w:eastAsia="仿宋_GB2312"/>
                <w:sz w:val="21"/>
              </w:rPr>
              <w:t xml:space="preserve">          3、项目初步验收:依据国家相关验收规范及标准，对项目档案资料的完备性，合规性进行全面核查；对项目工程数量及质量是否达到规划设计要求进行全面核查；对项目未达到规划设计及相关规范要求的工程，配合甲方督促相关单位及时进行整改；按照相关验收规程编制初步验收报告。</w:t>
            </w:r>
            <w:r>
              <w:br/>
            </w:r>
            <w:r>
              <w:rPr>
                <w:rFonts w:ascii="仿宋_GB2312" w:hAnsi="仿宋_GB2312" w:cs="仿宋_GB2312" w:eastAsia="仿宋_GB2312"/>
                <w:sz w:val="21"/>
              </w:rPr>
              <w:t xml:space="preserve">      四、提交成果</w:t>
            </w:r>
            <w:r>
              <w:br/>
            </w:r>
            <w:r>
              <w:rPr>
                <w:rFonts w:ascii="仿宋_GB2312" w:hAnsi="仿宋_GB2312" w:cs="仿宋_GB2312" w:eastAsia="仿宋_GB2312"/>
                <w:sz w:val="21"/>
              </w:rPr>
              <w:t xml:space="preserve">         1、出具工程复核报告</w:t>
            </w:r>
            <w:r>
              <w:br/>
            </w:r>
            <w:r>
              <w:rPr>
                <w:rFonts w:ascii="仿宋_GB2312" w:hAnsi="仿宋_GB2312" w:cs="仿宋_GB2312" w:eastAsia="仿宋_GB2312"/>
                <w:sz w:val="21"/>
              </w:rPr>
              <w:t xml:space="preserve">         2、出具工程结算审核报告</w:t>
            </w:r>
            <w:r>
              <w:br/>
            </w:r>
            <w:r>
              <w:rPr>
                <w:rFonts w:ascii="仿宋_GB2312" w:hAnsi="仿宋_GB2312" w:cs="仿宋_GB2312" w:eastAsia="仿宋_GB2312"/>
                <w:sz w:val="21"/>
              </w:rPr>
              <w:t xml:space="preserve">         3、出具验收报告，经相关部门初审通过。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供应商根据文件要求自主填写，要有能保证合同正常履行所需的从业人员。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供应商根据文件要求自主填写，要有能保证合同正常履行所需的设备。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严格按照磋商文件及业主要求参数进行验收，同时满足国家相关规范，规定要求。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合同签订生效并具备实施条件后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完成项目复核、审计、验收工作后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相关部门下达验收通过批复后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在买方对卖方违约而采取的任何补救措施不受影响的情况下，买方可向卖方发出书面违约通知书，提出终止部分或全部合同： （1）如果卖方未能在合同规定的期限内或买方根据规定同意延长的期限内提供部分或全部货物，或误期赔偿费达到最高限额。 （2）如果卖方未能履行合同规定的其它任何义务。 （3）如果买方认为卖方在本合同的竞争和实施过程中有腐败和欺诈行为。为此目的，定义下述条件：“腐败行为”是指提供、给予、接受或索取任何有价值的物品来影响买方在采购过程或合同实施过程中的行为。 “欺诈行为”是指为了影响采购过程或合同实施过程而谎报或隐瞒事实，损害买方利益的行为。 因执行本合同所发生的或与本合同有关的一切争议,双方应通过友好协商解决。 如果协商开始后六十天还不能解决，双方可依以下一种方式解决： 1、双方达成仲裁协议，向约定的仲裁委员会申请仲裁。 2、向有管辖权的人民法院起诉。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①提供近三年经审计任意一年的财务报告，包括“ 四表一注”（即资产负债表、利润表、现金流量表、所有者权益变动表（没有可不提供）及其附注，成立时间至提交投标文件截止时间不足一年的可提供成立后任意时段的资产负债表）②在开标截止日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人员资质证书</w:t>
            </w:r>
          </w:p>
        </w:tc>
        <w:tc>
          <w:tcPr>
            <w:tcW w:type="dxa" w:w="3322"/>
          </w:tcPr>
          <w:p>
            <w:pPr>
              <w:pStyle w:val="null3"/>
            </w:pPr>
            <w:r>
              <w:rPr>
                <w:rFonts w:ascii="仿宋_GB2312" w:hAnsi="仿宋_GB2312" w:cs="仿宋_GB2312" w:eastAsia="仿宋_GB2312"/>
              </w:rPr>
              <w:t>项目负责人需持有一级造价工程师职业资格证书（证书专业需包含水利工程、注册单位须与投标单位一致，提供注册证书扫描件）提供在本单位缴纳的社会保险缴纳证明（本年度连续三个月及以上）。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企业证明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未在“信用中国” 网站（www.creditchina.gov. cn）、“ 中国政府采购网”（ccgp.gov.cn）列入失信被执行人、重大税收违法案件当事人名单、政府采购严重违法失信行为记录名单(提供网页截图并加盖供应商公章）。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磋商响应文件上要求法定代表人或被授权人的 签字、盖章的应签字盖章齐全。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服务内容及服务邀请应答表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对项目的解读与掌握</w:t>
            </w:r>
          </w:p>
        </w:tc>
        <w:tc>
          <w:tcPr>
            <w:tcW w:type="dxa" w:w="2492"/>
          </w:tcPr>
          <w:p>
            <w:pPr>
              <w:pStyle w:val="null3"/>
            </w:pPr>
            <w:r>
              <w:rPr>
                <w:rFonts w:ascii="仿宋_GB2312" w:hAnsi="仿宋_GB2312" w:cs="仿宋_GB2312" w:eastAsia="仿宋_GB2312"/>
              </w:rPr>
              <w:t>解读全面，掌握项目相关情况，贴近项目实际需求，能较好地履约计6.1-10分；解读基本准确，了解项目相关情况，能满足项目实际需求，保证履约的计3.1-6分；解读不准确，不利于项目履约计0.5-3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工作背景目的及内容</w:t>
            </w:r>
          </w:p>
        </w:tc>
        <w:tc>
          <w:tcPr>
            <w:tcW w:type="dxa" w:w="2492"/>
          </w:tcPr>
          <w:p>
            <w:pPr>
              <w:pStyle w:val="null3"/>
            </w:pPr>
            <w:r>
              <w:rPr>
                <w:rFonts w:ascii="仿宋_GB2312" w:hAnsi="仿宋_GB2312" w:cs="仿宋_GB2312" w:eastAsia="仿宋_GB2312"/>
              </w:rPr>
              <w:t xml:space="preserve"> 对本项目的工作背景目的及内容描述清楚明确详实的计5.1-9分；对本项目的工作背景目的及内容基本描述清楚的计3.1-5分；对本项目的工作背景目的及内容描述不准确的计0.5-3分；未提供不计分。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够按照工作内容全面梳理项目实施阶段各工作流程，流程清浙、方法得当、可行性强，完全满足采购人的要求计5.1-8分；流程基本全面，满足采购人要求计2.1-5分；技术方法及流程不完善，不利于项目实施的计0.5-2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5.1-9分；项目实施的技术路线基本清晰全面，方法可行计3.1-5分；项目实施的技术路线不够清晰，方法简单不利于项目实施的计0.5-3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 xml:space="preserve"> 预期成果分类合理、内容齐全、成果描述具体详实的计4.1-6分；预期成果分类基本合理、内容基本齐全，并对成果进行相关描述的计2.1-4分；预期成果分类不合理、内容缺失的计0.5-2分；未提供不计分。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5.1-7分；设施设备满足项目需求，保障措施基本合理计3.1-5分；配有设施设备，但保障措施简单、不利于项目实施计0.5-3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结合本项目要求，阐述服务时效及进度的保障措施，时间进度安排合理、可行，完全满足采购要求计4.1-6分；措施基本合理，满足项目需求计2.1-4分；措施简单，不利于项目实施计0.5-2分；未提供不计分。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4.1-6分；提出的意见建议基本有益于本项目在技术、质量、进度或管理等方面进行改进的计2.1-4分；提出的意见建议不益于本项目在技术、质量、进度或管理等方面进行改进的计0.5-2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重点、难点及实施方案分析</w:t>
            </w:r>
          </w:p>
        </w:tc>
        <w:tc>
          <w:tcPr>
            <w:tcW w:type="dxa" w:w="2492"/>
          </w:tcPr>
          <w:p>
            <w:pPr>
              <w:pStyle w:val="null3"/>
            </w:pPr>
            <w:r>
              <w:rPr>
                <w:rFonts w:ascii="仿宋_GB2312" w:hAnsi="仿宋_GB2312" w:cs="仿宋_GB2312" w:eastAsia="仿宋_GB2312"/>
              </w:rPr>
              <w:t>供应商针对本项目的重、难点及实施方案进行分析。思路清晰，重、难点分析准确、对项目理解充分计7.1-10分；思路基本清晰，有重、难点分析，基本了解项目需求计3.1-7;思路混乱，未体现重、难点且没有准确理解项目实施目的计0.5-3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 近 3 年（2022 年 10 月 1 日至今）具有高标准农田建设项目复核、审计、验收或造价咨询业绩（需含田块整治、灌溉排水、田间道路等核心内容）(以合同签订日期为准，提供合同复印件或扫描件加盖公章)： - 提供2项及以上，得5分； - 提供1项，得2.5分； 2. 若无高标准农田业绩，但有水利类相关造价咨询业绩（需含农田灌溉、水土保持、小型水利工程等与本项目建设内容相关的业绩，如灌区改造、农田水利造价咨询等）(以合同签订日期为准，提供合同复印件或扫描件加盖公章)： - 提供2项及以上，得4分； - 提供1项得2分； 3. 无上述两类业绩，得0分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项目组织机构及人员配置</w:t>
            </w:r>
          </w:p>
        </w:tc>
        <w:tc>
          <w:tcPr>
            <w:tcW w:type="dxa" w:w="2492"/>
          </w:tcPr>
          <w:p>
            <w:pPr>
              <w:pStyle w:val="null3"/>
            </w:pPr>
            <w:r>
              <w:rPr>
                <w:rFonts w:ascii="仿宋_GB2312" w:hAnsi="仿宋_GB2312" w:cs="仿宋_GB2312" w:eastAsia="仿宋_GB2312"/>
              </w:rPr>
              <w:t>本项目拟投入人员(含技术负责人)的工作经验及组织架构是否满足项目需求。架构合理，人员配置齐全、岗位分配合理、团队人员经验丰富，完全满足项目需求计2.1-4分；架构及人员配置基本合理，满足项目需求计1.1-2分；人员配置欠缺、不利于项目实施的计0.5-1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拟派技术负责人具有相关专业高级及以上工程师职称的计2分，不满足不得分；拟投入本项目的其他人员(除技术负责人以外)中具有相关专业中级及以上工程师职称的，每提供1个计1分，最多得3分。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3.1-5分；承诺及措施科学合理，基本满足项目需求计0.5-3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 按照下列公式计算：磋商报价得分=（磋商基准价/最后磋商报价） ×价格权值。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