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版本号：ZC-HJL2025-015.1B120251009001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耀州区联合执法大队业务用房及公安分局警体训练中心维修改造工程(二次)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ZC-HJL2025-015.1B1</w:t>
      </w:r>
      <w:r>
        <w:br/>
      </w:r>
      <w:r>
        <w:br/>
      </w:r>
      <w:r>
        <w:br/>
      </w:r>
    </w:p>
    <w:p>
      <w:pPr>
        <w:pStyle w:val="null3"/>
        <w:jc w:val="center"/>
        <w:outlineLvl w:val="2"/>
      </w:pPr>
      <w:r>
        <w:rPr>
          <w:rFonts w:ascii="仿宋_GB2312" w:hAnsi="仿宋_GB2312" w:cs="仿宋_GB2312" w:eastAsia="仿宋_GB2312"/>
          <w:sz w:val="28"/>
          <w:b/>
        </w:rPr>
        <w:t>铜川市公安局耀州分局</w:t>
      </w:r>
    </w:p>
    <w:p>
      <w:pPr>
        <w:pStyle w:val="null3"/>
        <w:jc w:val="center"/>
        <w:outlineLvl w:val="2"/>
      </w:pPr>
      <w:r>
        <w:rPr>
          <w:rFonts w:ascii="仿宋_GB2312" w:hAnsi="仿宋_GB2312" w:cs="仿宋_GB2312" w:eastAsia="仿宋_GB2312"/>
          <w:sz w:val="28"/>
          <w:b/>
        </w:rPr>
        <w:t>华建联项目管理有限公司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华建联项目管理有限公司</w:t>
      </w:r>
      <w:r>
        <w:rPr>
          <w:rFonts w:ascii="仿宋_GB2312" w:hAnsi="仿宋_GB2312" w:cs="仿宋_GB2312" w:eastAsia="仿宋_GB2312"/>
        </w:rPr>
        <w:t>（以下简称“代理机构”）受</w:t>
      </w:r>
      <w:r>
        <w:rPr>
          <w:rFonts w:ascii="仿宋_GB2312" w:hAnsi="仿宋_GB2312" w:cs="仿宋_GB2312" w:eastAsia="仿宋_GB2312"/>
        </w:rPr>
        <w:t>铜川市公安局耀州分局</w:t>
      </w:r>
      <w:r>
        <w:rPr>
          <w:rFonts w:ascii="仿宋_GB2312" w:hAnsi="仿宋_GB2312" w:cs="仿宋_GB2312" w:eastAsia="仿宋_GB2312"/>
        </w:rPr>
        <w:t>委托，拟对</w:t>
      </w:r>
      <w:r>
        <w:rPr>
          <w:rFonts w:ascii="仿宋_GB2312" w:hAnsi="仿宋_GB2312" w:cs="仿宋_GB2312" w:eastAsia="仿宋_GB2312"/>
        </w:rPr>
        <w:t>耀州区联合执法大队业务用房及公安分局警体训练中心维修改造工程(二次)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ZC-HJL2025-015.1B1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耀州区联合执法大队业务用房及公安分局警体训练中心维修改造工程(二次)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对原税务局锦阳路税务所训练场地改业务用房进行维修改造，加固维修训练场、办公楼防水、更换门窗、外墙保温。消防隐患整改、改造卫生间、重新走水电维修、院落硬化等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采购包1（耀州区联合执法大队业务用房及公安分局警体训练中心维修改造工程）：属于专门面向中小企业采购。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2、法定代表人身份证明或法定代表人授权委托书：法定代表人授权书（附法定代表人及被授权人身份证复印件）（如法定代表人直接投标只须提交法定代表人身份证明并附身份证复印件）；</w:t>
      </w:r>
    </w:p>
    <w:p>
      <w:pPr>
        <w:pStyle w:val="null3"/>
      </w:pPr>
      <w:r>
        <w:rPr>
          <w:rFonts w:ascii="仿宋_GB2312" w:hAnsi="仿宋_GB2312" w:cs="仿宋_GB2312" w:eastAsia="仿宋_GB2312"/>
        </w:rPr>
        <w:t>3、财务状况报告：提供2023或2024任一年度经审计的财务审计报告(2025年成立的公司提供成立后企业的资产负债表和利润表），或提供响应文件递交截止之日前近一年内基本存款账户开户银行开具的资信证明；</w:t>
      </w:r>
    </w:p>
    <w:p>
      <w:pPr>
        <w:pStyle w:val="null3"/>
      </w:pPr>
      <w:r>
        <w:rPr>
          <w:rFonts w:ascii="仿宋_GB2312" w:hAnsi="仿宋_GB2312" w:cs="仿宋_GB2312" w:eastAsia="仿宋_GB2312"/>
        </w:rPr>
        <w:t>4、税收缴纳证明：提供2025年01月01日至今任意一个月的缴纳税收的证明材料(依法免税的单位应提供相关证明材料)；</w:t>
      </w:r>
    </w:p>
    <w:p>
      <w:pPr>
        <w:pStyle w:val="null3"/>
      </w:pPr>
      <w:r>
        <w:rPr>
          <w:rFonts w:ascii="仿宋_GB2312" w:hAnsi="仿宋_GB2312" w:cs="仿宋_GB2312" w:eastAsia="仿宋_GB2312"/>
        </w:rPr>
        <w:t>5、社会保障资金缴纳证明：提供2025年01月01日至今任意一个月的依法缴纳社会保障资金的证明材料（依法不需要缴纳社会保障资金的单位应提供相关证明材料）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6、信用查询：投标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7、履约能力：出具具备履行合同所必需的设备和专业技术能力的书面声明；</w:t>
      </w:r>
    </w:p>
    <w:p>
      <w:pPr>
        <w:pStyle w:val="null3"/>
      </w:pPr>
      <w:r>
        <w:rPr>
          <w:rFonts w:ascii="仿宋_GB2312" w:hAnsi="仿宋_GB2312" w:cs="仿宋_GB2312" w:eastAsia="仿宋_GB2312"/>
        </w:rPr>
        <w:t>8、无重大违法记录：参加政府采购活动前3年内，在经营活动中没有重大违法记录（提供书面声明函）</w:t>
      </w:r>
    </w:p>
    <w:p>
      <w:pPr>
        <w:pStyle w:val="null3"/>
      </w:pPr>
      <w:r>
        <w:rPr>
          <w:rFonts w:ascii="仿宋_GB2312" w:hAnsi="仿宋_GB2312" w:cs="仿宋_GB2312" w:eastAsia="仿宋_GB2312"/>
        </w:rPr>
        <w:t>9、企业关联关系：单位负责人为同一人或者存在直接控股、管理关系的不同供应商不得同时参加本项目磋商；</w:t>
      </w:r>
    </w:p>
    <w:p>
      <w:pPr>
        <w:pStyle w:val="null3"/>
      </w:pPr>
      <w:r>
        <w:rPr>
          <w:rFonts w:ascii="仿宋_GB2312" w:hAnsi="仿宋_GB2312" w:cs="仿宋_GB2312" w:eastAsia="仿宋_GB2312"/>
        </w:rPr>
        <w:t>10、企业资质：①具有建筑工程施工总承包三级及以上（含三级）资质；②并具有有效的安全生产许可证；</w:t>
      </w:r>
    </w:p>
    <w:p>
      <w:pPr>
        <w:pStyle w:val="null3"/>
      </w:pPr>
      <w:r>
        <w:rPr>
          <w:rFonts w:ascii="仿宋_GB2312" w:hAnsi="仿宋_GB2312" w:cs="仿宋_GB2312" w:eastAsia="仿宋_GB2312"/>
        </w:rPr>
        <w:t>11、拟派项目负责人资质和专业要求：拟派项目经理需具备建筑工程专业二级及以上（含二级）注册建造师资格，具备有效的安全生产考核合格证（B证）， 本单位注册，且无其他在建工程（提供无在建承诺）。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铜川市公安局耀州分局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铜川市耀州区文营西路81号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姚江锋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18992919728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华建联项目管理有限公司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陕西省西安市碑林区西安市碑林区南二环东段561号，长安大街3号A座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巩毓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18091920996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采购包1：1,920,260.35元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铜川市公安局耀州分局</w:t>
      </w:r>
      <w:r>
        <w:rPr>
          <w:rFonts w:ascii="仿宋_GB2312" w:hAnsi="仿宋_GB2312" w:cs="仿宋_GB2312" w:eastAsia="仿宋_GB2312"/>
        </w:rPr>
        <w:t>和</w:t>
      </w:r>
      <w:r>
        <w:rPr>
          <w:rFonts w:ascii="仿宋_GB2312" w:hAnsi="仿宋_GB2312" w:cs="仿宋_GB2312" w:eastAsia="仿宋_GB2312"/>
        </w:rPr>
        <w:t>华建联项目管理有限公司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铜川市公安局耀州分局</w:t>
      </w:r>
      <w:r>
        <w:rPr>
          <w:rFonts w:ascii="仿宋_GB2312" w:hAnsi="仿宋_GB2312" w:cs="仿宋_GB2312" w:eastAsia="仿宋_GB2312"/>
        </w:rPr>
        <w:t>负责解释。除上述磋商文件内容，其他内容由</w:t>
      </w:r>
      <w:r>
        <w:rPr>
          <w:rFonts w:ascii="仿宋_GB2312" w:hAnsi="仿宋_GB2312" w:cs="仿宋_GB2312" w:eastAsia="仿宋_GB2312"/>
        </w:rPr>
        <w:t>华建联项目管理有限公司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铜川市公安局耀州分局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华建联项目管理有限公司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符合质量要求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联系人：巩毓</w:t>
      </w:r>
    </w:p>
    <w:p>
      <w:pPr>
        <w:pStyle w:val="null3"/>
      </w:pPr>
      <w:r>
        <w:rPr>
          <w:rFonts w:ascii="仿宋_GB2312" w:hAnsi="仿宋_GB2312" w:cs="仿宋_GB2312" w:eastAsia="仿宋_GB2312"/>
        </w:rPr>
        <w:t>联系电话：18091920996</w:t>
      </w:r>
    </w:p>
    <w:p>
      <w:pPr>
        <w:pStyle w:val="null3"/>
      </w:pPr>
      <w:r>
        <w:rPr>
          <w:rFonts w:ascii="仿宋_GB2312" w:hAnsi="仿宋_GB2312" w:cs="仿宋_GB2312" w:eastAsia="仿宋_GB2312"/>
        </w:rPr>
        <w:t>地址：陕西省铜川市大学生创业孵化园(新区铁诺北路2号)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1,920,260.35</w:t>
      </w:r>
    </w:p>
    <w:p>
      <w:pPr>
        <w:pStyle w:val="null3"/>
      </w:pPr>
      <w:r>
        <w:rPr>
          <w:rFonts w:ascii="仿宋_GB2312" w:hAnsi="仿宋_GB2312" w:cs="仿宋_GB2312" w:eastAsia="仿宋_GB2312"/>
        </w:rPr>
        <w:t>采购包最高限价（元）: 1,920,260.35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业务用房及训练中心维修改造工程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1,920,260.35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标的名称：业务用房及训练中心维修改造工程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sz w:val="20"/>
                <w:color w:val="000000"/>
              </w:rPr>
              <w:t>计划工期：</w:t>
            </w:r>
            <w:r>
              <w:rPr>
                <w:rFonts w:ascii="仿宋_GB2312" w:hAnsi="仿宋_GB2312" w:cs="仿宋_GB2312" w:eastAsia="仿宋_GB2312"/>
                <w:sz w:val="20"/>
                <w:color w:val="000000"/>
              </w:rPr>
              <w:t>100日历天</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0"/>
                <w:color w:val="000000"/>
              </w:rPr>
              <w:t>质量目标：</w:t>
            </w:r>
            <w:r>
              <w:rPr>
                <w:rFonts w:ascii="仿宋_GB2312" w:hAnsi="仿宋_GB2312" w:cs="仿宋_GB2312" w:eastAsia="仿宋_GB2312"/>
                <w:sz w:val="21"/>
                <w:color w:val="000000"/>
              </w:rPr>
              <w:t>符合国家及行业施工验收规范合格标准</w:t>
            </w:r>
          </w:p>
          <w:p>
            <w:pPr>
              <w:pStyle w:val="null3"/>
            </w:pPr>
            <w:r>
              <w:rPr>
                <w:rFonts w:ascii="仿宋_GB2312" w:hAnsi="仿宋_GB2312" w:cs="仿宋_GB2312" w:eastAsia="仿宋_GB2312"/>
              </w:rPr>
              <w:t>3.内容详见工程量清单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标准：质量必须达到国家及行业现行技术规范标准，符合国家及行业施工验收规范合格标准，并满足采购人要求。（二）验收方法：（1）在竣工后，成交供应商应向采购人提交工程竣工报告，申请工程竣工验收，并将施工过程中相关资料提交采购人。（2）采购人收到工程竣工报告后，对符合竣工验收要求的工程，组织相关单位组成验收组共同验收，签署工程竣工验收意见。（3）验收合格后，采购人出具《工程竣工验收报告》 ，并在相关主管部门备案。（4）验收不合格的中标单位，必须在接到通知后7个日历日内确保工程通过验收。如接到通知后 7个日历日内验收仍不合格，采购人可提出索赔或取消其施工合同。 （三）验收依据：（1）合同文本及合同补充文件（条款） 。（2） 磋商文件。（3） 响应文件。（4）工程量清单。（5）施工质量验收标准。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质量保修期：按《建设工程质量管理条例》有关规定执行。质量保修期自工程竣工验收合格之日起计算。若供应商承诺质保期限超过磋商文件要求，按其承诺执行。 保修范围：承包人在质量保修期内，按照有关法律规定和合同约定，承担工程质量保修责任。 违约责任与解决争议的方法：若成交供应商未按合同要求提供工程质量或工程质量不能满足技术要求，采购人有权终止合同，并对供方违约行为进行追究，同时按《中华人民共和国民法典》、《中华人民共和国政府采购法》及其实施条例的有关规定进行处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法定代表人授权书（附法定代表人及被授权人身份证复印件）（如法定代表人直接投标只须提交法定代表人身份证明并附身份证复印件）；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提供2023或2024任一年度经审计的财务审计报告(2025年成立的公司提供成立后企业的资产负债表和利润表），或提供响应文件递交截止之日前近一年内基本存款账户开户银行开具的资信证明；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①具有建筑工程施工总承包三级及以上（含三级）资质；②并具有有效的安全生产许可证；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拟派项目经理需具备建筑工程专业二级及以上（含二级）注册建造师资格，具备有效的安全生产考核合格证（B证）， 本单位注册，且无其他在建工程（提供无在建承诺）。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响应文件的签署及格式</w:t>
            </w:r>
          </w:p>
        </w:tc>
        <w:tc>
          <w:tcPr>
            <w:tcW w:type="dxa" w:w="3322"/>
          </w:tcPr>
          <w:p>
            <w:pPr>
              <w:pStyle w:val="null3"/>
            </w:pPr>
            <w:r>
              <w:rPr>
                <w:rFonts w:ascii="仿宋_GB2312" w:hAnsi="仿宋_GB2312" w:cs="仿宋_GB2312" w:eastAsia="仿宋_GB2312"/>
              </w:rPr>
              <w:t>响应文件的签署及格式：磋商文件要求必须响应的 内容齐全，有格式要求的应符合格式要求；要求签字或盖章的，按文件规定签字或盖章齐全；</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 预算和最高限价。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磋商有效期：应满足磋商文件中的规定；</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工期和工程质量：</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已标价工程量清单 报价函 技术服务合同条款及其他商务要求应答表 供应商应提交的相关资格证明材料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施工方案0-10分 由评委按情况分档赋分： 1.施工方案与技术措施具有创新性、可靠性等，思路清晰合理，有明确的工作程序，能响应磋商文件服务要求，方案内容完整条理清晰、合理，先进成熟且逐条详细说明的得（8-10]分； 2.方案内容清晰完整，条理一般，但逐条详细说明的得(5－8]分； 3.方案内容不完整，条理差，但逐条说明的得(0-5]分。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确保工程质量的技术组织措施0-10分 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确保安全生产技术组织措施 0-10分。由评委按情况分档赋分：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文明施工和环境保护的技术组织措施</w:t>
            </w:r>
          </w:p>
        </w:tc>
        <w:tc>
          <w:tcPr>
            <w:tcW w:type="dxa" w:w="2492"/>
          </w:tcPr>
          <w:p>
            <w:pPr>
              <w:pStyle w:val="null3"/>
            </w:pPr>
            <w:r>
              <w:rPr>
                <w:rFonts w:ascii="仿宋_GB2312" w:hAnsi="仿宋_GB2312" w:cs="仿宋_GB2312" w:eastAsia="仿宋_GB2312"/>
              </w:rPr>
              <w:t>确保文明施工的技术组织措施 0-10分。由评委按情况分档赋分：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对本项目配备人员</w:t>
            </w:r>
          </w:p>
        </w:tc>
        <w:tc>
          <w:tcPr>
            <w:tcW w:type="dxa" w:w="2492"/>
          </w:tcPr>
          <w:p>
            <w:pPr>
              <w:pStyle w:val="null3"/>
            </w:pPr>
            <w:r>
              <w:rPr>
                <w:rFonts w:ascii="仿宋_GB2312" w:hAnsi="仿宋_GB2312" w:cs="仿宋_GB2312" w:eastAsia="仿宋_GB2312"/>
              </w:rPr>
              <w:t>对本项目配备的人员团队，且设置配备合理，人员职责明确、分工安排清晰，有一定的工作经验，提供具体人员名单，包括姓名、工作职务、联系方式等相关资料进行综合评分。 ①人员团队优质，从业经验丰富、根据项目特点职能分工合理得（6-10］分； ②人员团队配置合理，从业经验较丰富、根据项目特点职能分工合理得（3-6分］； ③人员团队配置一般，经验不足，分工不合理得（0-3］分。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确保工期的技术组织措施 0-10分。由评委按情况分档赋分：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施工劳动力、施工设备配备和材料投入计划 由评委按情况赋分。保证全面完整，满足项目要求(3-5]分，较全面完整(0-3]分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提供近三年（2022年1月1日至今）类似项目业绩，响应文件中附有其业绩证明材料，业绩以中标（成交）通知书或合同加盖供应商红色公章的复印件为依据，提供一个计1分，满分5分。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磋商报价最低的供应商的价格为评标基准价，其价格分为满分。其他供应商的价格分统一按照下列公式计算：报价得分=（评标基准价/最后磋商报价）×价格权值（即30%）×100（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