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版本号：ZBZX-2025-102720251111001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耀州区司法局民主法治示范村建设项目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ZBZX-2025-1027</w:t>
      </w:r>
      <w:r>
        <w:br/>
      </w:r>
      <w:r>
        <w:br/>
      </w:r>
      <w:r>
        <w:br/>
      </w:r>
    </w:p>
    <w:p>
      <w:pPr>
        <w:pStyle w:val="null3"/>
        <w:jc w:val="center"/>
        <w:outlineLvl w:val="2"/>
      </w:pPr>
      <w:r>
        <w:rPr>
          <w:rFonts w:ascii="仿宋_GB2312" w:hAnsi="仿宋_GB2312" w:cs="仿宋_GB2312" w:eastAsia="仿宋_GB2312"/>
          <w:sz w:val="28"/>
          <w:b/>
        </w:rPr>
        <w:t>铜川市耀州区司法局</w:t>
      </w:r>
    </w:p>
    <w:p>
      <w:pPr>
        <w:pStyle w:val="null3"/>
        <w:jc w:val="center"/>
        <w:outlineLvl w:val="2"/>
      </w:pPr>
      <w:r>
        <w:rPr>
          <w:rFonts w:ascii="仿宋_GB2312" w:hAnsi="仿宋_GB2312" w:cs="仿宋_GB2312" w:eastAsia="仿宋_GB2312"/>
          <w:sz w:val="28"/>
          <w:b/>
        </w:rPr>
        <w:t>陕西兆北工程项目管理有限公司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陕西兆北工程项目管理有限公司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铜川市耀州区司法局</w:t>
      </w:r>
      <w:r>
        <w:rPr>
          <w:rFonts w:ascii="仿宋_GB2312" w:hAnsi="仿宋_GB2312" w:cs="仿宋_GB2312" w:eastAsia="仿宋_GB2312"/>
        </w:rPr>
        <w:t>委托，拟对</w:t>
      </w:r>
      <w:r>
        <w:rPr>
          <w:rFonts w:ascii="仿宋_GB2312" w:hAnsi="仿宋_GB2312" w:cs="仿宋_GB2312" w:eastAsia="仿宋_GB2312"/>
        </w:rPr>
        <w:t>耀州区司法局民主法治示范村建设项目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ZBZX-2025-1027</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耀州区司法局民主法治示范村建设项目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孙塬镇孝雷村建设项目： 1、打造旅游消费 纠纷调解室。在村调解室基础上，依托孝雷村游客服务中心，围绕旅游消费领域矛盾纠纷，为游客提供法律咨询等法律服务。 2、建设 “法治快餐厅”。在游客服务中心图书屋开辟法律图书角，配备法律书籍，设置资料查阅区，为游客及村民提供“法治快餐”。 3、创意体验式普法项目。在旅游景区打造有奖答题、普法游戏、维权情景剧表演等普法项目。 4、乡村法治文化建设。制作法治文化墙、长廊、道旗、法治农耕步道。 董家河镇凤柳 村建设项目： 1、改造提升人民调解室。建设 集矛盾纠纷调解、法律咨询、心理疏导于一体 的综合服务平台，组“调解员+法律顾问+乡贤”的调解队伍，定期开展培训。2、打造公 共法律服务室。设置接待区、资料查阅区。 3、制作普法宣传短视 频，制作内容涵盖《民法典》《土地管理法》 《婚姻家庭法》《未成年人保护法》等与村民生活密切相关的法律、法规。 4、乡村法治文化建设。制作法治文化连体报栏、法治剪纸墙道旗等。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采购包1（耀州区司法局民主法治示范村建设项目）：属于专门面向中小企业采购。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p>
      <w:pPr>
        <w:pStyle w:val="null3"/>
      </w:pPr>
      <w:r>
        <w:rPr>
          <w:rFonts w:ascii="仿宋_GB2312" w:hAnsi="仿宋_GB2312" w:cs="仿宋_GB2312" w:eastAsia="仿宋_GB2312"/>
        </w:rPr>
        <w:t>2、财务状况报告：提供2023年或2024年度经审计的财务报告（包括“四表一注”，即资产负债表、利润表、现金流量表、所有者权益变动表及其附注，成立时间至提交投标文件截止时间不足一年的可提供成立后任意时段的财务报表），或其开标前六个月内基本开户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3、税收缴纳证明：提供开标前一年内已缴纳任意一个月完税凭证或税务机关开具的完税证明（任意税种）；依法免税的应提供相关文件证明，零纳税的提供申报表；</w:t>
      </w:r>
    </w:p>
    <w:p>
      <w:pPr>
        <w:pStyle w:val="null3"/>
      </w:pPr>
      <w:r>
        <w:rPr>
          <w:rFonts w:ascii="仿宋_GB2312" w:hAnsi="仿宋_GB2312" w:cs="仿宋_GB2312" w:eastAsia="仿宋_GB2312"/>
        </w:rPr>
        <w:t>4、法人授权书：法定代表人直接参加投标的，须出具法定代表人身份证明书及身份证；法定代表人授权代表参加投标的，须出具法定代表人授权书及授权代表身份证；</w:t>
      </w:r>
    </w:p>
    <w:p>
      <w:pPr>
        <w:pStyle w:val="null3"/>
      </w:pPr>
      <w:r>
        <w:rPr>
          <w:rFonts w:ascii="仿宋_GB2312" w:hAnsi="仿宋_GB2312" w:cs="仿宋_GB2312" w:eastAsia="仿宋_GB2312"/>
        </w:rPr>
        <w:t>5、信用中国：投标人不得为“信用中国”网站（www.creditchina.gov.cn）中列入失信被执行人和重大税收违法失信主体名单的投标人，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6、无重大违法记录声明：供应商参加本次政府采购活动前3年内在经营活动中没有重大违纪的书面声明；</w:t>
      </w:r>
    </w:p>
    <w:p>
      <w:pPr>
        <w:pStyle w:val="null3"/>
      </w:pPr>
      <w:r>
        <w:rPr>
          <w:rFonts w:ascii="仿宋_GB2312" w:hAnsi="仿宋_GB2312" w:cs="仿宋_GB2312" w:eastAsia="仿宋_GB2312"/>
        </w:rPr>
        <w:t>7、投标人关联关系声明：单位负责人为同一人或者存在直接控股、管理关系的不同供应商，不得参加同一合同项下的政府采购活动。</w:t>
      </w:r>
    </w:p>
    <w:p>
      <w:pPr>
        <w:pStyle w:val="null3"/>
      </w:pPr>
      <w:r>
        <w:rPr>
          <w:rFonts w:ascii="仿宋_GB2312" w:hAnsi="仿宋_GB2312" w:cs="仿宋_GB2312" w:eastAsia="仿宋_GB2312"/>
        </w:rPr>
        <w:t>8、联合体响应：提供非联合体不分包响应声明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铜川市耀州区司法局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耀州区文营西路81号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铜川市耀州区司法局经办王元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13772797761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陕西兆北工程项目管理有限公司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陕西省西安市雁塔区陕西省西安市高新区科技二路72号兰基中心2幢1107室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刘红博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13227739000</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开户名称：陕西兆北工程项目管理有限公司</w:t>
            </w:r>
          </w:p>
          <w:p>
            <w:pPr>
              <w:pStyle w:val="null3"/>
            </w:pPr>
            <w:r>
              <w:rPr>
                <w:rFonts w:ascii="仿宋_GB2312" w:hAnsi="仿宋_GB2312" w:cs="仿宋_GB2312" w:eastAsia="仿宋_GB2312"/>
              </w:rPr>
              <w:t>开户银行：中国建设银行股份有限公司西安科技二路支行</w:t>
            </w:r>
          </w:p>
          <w:p>
            <w:pPr>
              <w:pStyle w:val="null3"/>
            </w:pPr>
            <w:r>
              <w:rPr>
                <w:rFonts w:ascii="仿宋_GB2312" w:hAnsi="仿宋_GB2312" w:cs="仿宋_GB2312" w:eastAsia="仿宋_GB2312"/>
              </w:rPr>
              <w:t>银行账号：61050110771000000476</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代理服务费收费标准：按照采购人与代理机构签订的代理合同为准</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铜川市耀州区司法局</w:t>
      </w:r>
      <w:r>
        <w:rPr>
          <w:rFonts w:ascii="仿宋_GB2312" w:hAnsi="仿宋_GB2312" w:cs="仿宋_GB2312" w:eastAsia="仿宋_GB2312"/>
        </w:rPr>
        <w:t>和</w:t>
      </w:r>
      <w:r>
        <w:rPr>
          <w:rFonts w:ascii="仿宋_GB2312" w:hAnsi="仿宋_GB2312" w:cs="仿宋_GB2312" w:eastAsia="仿宋_GB2312"/>
        </w:rPr>
        <w:t>陕西兆北工程项目管理有限公司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铜川市耀州区司法局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陕西兆北工程项目管理有限公司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铜川市耀州区司法局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陕西兆北工程项目管理有限公司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符合国家及行业标准，满足采购人要求</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陕西兆北工程项目管理有限公司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陕西兆北工程项目管理有限公司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陕西兆北工程项目管理有限公司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联系人：刘红博</w:t>
      </w:r>
    </w:p>
    <w:p>
      <w:pPr>
        <w:pStyle w:val="null3"/>
      </w:pPr>
      <w:r>
        <w:rPr>
          <w:rFonts w:ascii="仿宋_GB2312" w:hAnsi="仿宋_GB2312" w:cs="仿宋_GB2312" w:eastAsia="仿宋_GB2312"/>
        </w:rPr>
        <w:t>联系电话：13227739000</w:t>
      </w:r>
    </w:p>
    <w:p>
      <w:pPr>
        <w:pStyle w:val="null3"/>
      </w:pPr>
      <w:r>
        <w:rPr>
          <w:rFonts w:ascii="仿宋_GB2312" w:hAnsi="仿宋_GB2312" w:cs="仿宋_GB2312" w:eastAsia="仿宋_GB2312"/>
        </w:rPr>
        <w:t>地址：陕西省西安市高新区科技二路72号兰基中心2幢1107室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民主法治示范村建设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800,000.00</w:t>
            </w:r>
          </w:p>
        </w:tc>
        <w:tc>
          <w:tcPr>
            <w:tcW w:type="dxa" w:w="1384"/>
          </w:tcPr>
          <w:p>
            <w:pPr>
              <w:pStyle w:val="null3"/>
            </w:pPr>
            <w:r>
              <w:rPr>
                <w:rFonts w:ascii="仿宋_GB2312" w:hAnsi="仿宋_GB2312" w:cs="仿宋_GB2312" w:eastAsia="仿宋_GB2312"/>
              </w:rPr>
              <w:t>个</w:t>
            </w:r>
          </w:p>
        </w:tc>
        <w:tc>
          <w:tcPr>
            <w:tcW w:type="dxa" w:w="1384"/>
          </w:tcPr>
          <w:p>
            <w:pPr>
              <w:pStyle w:val="null3"/>
            </w:pPr>
            <w:r>
              <w:rPr>
                <w:rFonts w:ascii="仿宋_GB2312" w:hAnsi="仿宋_GB2312" w:cs="仿宋_GB2312" w:eastAsia="仿宋_GB2312"/>
              </w:rPr>
              <w:t>其他未列明行业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标的名称：民主法治示范村建设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18"/>
              </w:rPr>
              <w:t>一、项目概况：</w:t>
            </w:r>
          </w:p>
          <w:p>
            <w:pPr>
              <w:pStyle w:val="null3"/>
              <w:ind w:firstLine="420"/>
              <w:jc w:val="left"/>
            </w:pPr>
            <w:r>
              <w:rPr>
                <w:rFonts w:ascii="仿宋_GB2312" w:hAnsi="仿宋_GB2312" w:cs="仿宋_GB2312" w:eastAsia="仿宋_GB2312"/>
                <w:sz w:val="18"/>
                <w:color w:val="333333"/>
              </w:rPr>
              <w:t>孙</w:t>
            </w:r>
            <w:r>
              <w:rPr>
                <w:rFonts w:ascii="仿宋_GB2312" w:hAnsi="仿宋_GB2312" w:cs="仿宋_GB2312" w:eastAsia="仿宋_GB2312"/>
                <w:sz w:val="18"/>
                <w:color w:val="333333"/>
                <w:shd w:fill="FFFFFF" w:val="clear"/>
              </w:rPr>
              <w:t>塬镇孝雷村建设项目：</w:t>
            </w:r>
          </w:p>
          <w:p>
            <w:pPr>
              <w:pStyle w:val="null3"/>
              <w:ind w:firstLine="480"/>
              <w:jc w:val="left"/>
            </w:pPr>
            <w:r>
              <w:rPr>
                <w:rFonts w:ascii="仿宋_GB2312" w:hAnsi="仿宋_GB2312" w:cs="仿宋_GB2312" w:eastAsia="仿宋_GB2312"/>
                <w:sz w:val="18"/>
                <w:color w:val="333333"/>
                <w:shd w:fill="FFFFFF" w:val="clear"/>
              </w:rPr>
              <w:t>1、打造旅游消费 纠纷调解室。在村调解室基础上，依托孝雷村游客服务中心，围绕旅游消费领域矛盾纠纷，为游客提供法律咨询等法律服务。</w:t>
            </w:r>
          </w:p>
          <w:p>
            <w:pPr>
              <w:pStyle w:val="null3"/>
              <w:ind w:firstLine="480"/>
              <w:jc w:val="left"/>
            </w:pPr>
            <w:r>
              <w:rPr>
                <w:rFonts w:ascii="仿宋_GB2312" w:hAnsi="仿宋_GB2312" w:cs="仿宋_GB2312" w:eastAsia="仿宋_GB2312"/>
                <w:sz w:val="18"/>
                <w:color w:val="333333"/>
                <w:shd w:fill="FFFFFF" w:val="clear"/>
              </w:rPr>
              <w:t>2、建设 “法治快餐厅”。在游客服务中心图书屋开辟法律图书角，配备法律书籍，设置资料查阅区，为游客及村民提供“法治快餐”。</w:t>
            </w:r>
          </w:p>
          <w:p>
            <w:pPr>
              <w:pStyle w:val="null3"/>
              <w:ind w:firstLine="480"/>
              <w:jc w:val="left"/>
            </w:pPr>
            <w:r>
              <w:rPr>
                <w:rFonts w:ascii="仿宋_GB2312" w:hAnsi="仿宋_GB2312" w:cs="仿宋_GB2312" w:eastAsia="仿宋_GB2312"/>
                <w:sz w:val="18"/>
                <w:color w:val="333333"/>
                <w:shd w:fill="FFFFFF" w:val="clear"/>
              </w:rPr>
              <w:t>3、创意体验式普法项目。在旅游景区打造有奖答题、普法游戏、维权情景剧表演等普法项目。</w:t>
            </w:r>
          </w:p>
          <w:p>
            <w:pPr>
              <w:pStyle w:val="null3"/>
              <w:ind w:firstLine="480"/>
              <w:jc w:val="left"/>
            </w:pPr>
            <w:r>
              <w:rPr>
                <w:rFonts w:ascii="仿宋_GB2312" w:hAnsi="仿宋_GB2312" w:cs="仿宋_GB2312" w:eastAsia="仿宋_GB2312"/>
                <w:sz w:val="18"/>
                <w:color w:val="333333"/>
                <w:shd w:fill="FFFFFF" w:val="clear"/>
              </w:rPr>
              <w:t>4、乡村法治文化建设。制作法治文化墙、长廊、道旗、法治农耕步道。</w:t>
            </w:r>
          </w:p>
          <w:p>
            <w:pPr>
              <w:pStyle w:val="null3"/>
              <w:ind w:firstLine="480"/>
              <w:jc w:val="left"/>
            </w:pPr>
            <w:r>
              <w:rPr>
                <w:rFonts w:ascii="仿宋_GB2312" w:hAnsi="仿宋_GB2312" w:cs="仿宋_GB2312" w:eastAsia="仿宋_GB2312"/>
                <w:sz w:val="18"/>
                <w:color w:val="333333"/>
                <w:shd w:fill="FFFFFF" w:val="clear"/>
              </w:rPr>
              <w:t>董家河镇凤柳</w:t>
            </w:r>
            <w:r>
              <w:rPr>
                <w:rFonts w:ascii="仿宋_GB2312" w:hAnsi="仿宋_GB2312" w:cs="仿宋_GB2312" w:eastAsia="仿宋_GB2312"/>
                <w:sz w:val="18"/>
                <w:color w:val="333333"/>
                <w:shd w:fill="FFFFFF" w:val="clear"/>
              </w:rPr>
              <w:t>村建设项目：</w:t>
            </w:r>
          </w:p>
          <w:p>
            <w:pPr>
              <w:pStyle w:val="null3"/>
              <w:ind w:firstLine="480"/>
              <w:jc w:val="left"/>
            </w:pPr>
            <w:r>
              <w:rPr>
                <w:rFonts w:ascii="仿宋_GB2312" w:hAnsi="仿宋_GB2312" w:cs="仿宋_GB2312" w:eastAsia="仿宋_GB2312"/>
                <w:sz w:val="18"/>
                <w:color w:val="333333"/>
                <w:shd w:fill="FFFFFF" w:val="clear"/>
              </w:rPr>
              <w:t xml:space="preserve">1、改造提升人民调解室。建设 集矛盾纠纷调解、法律咨询、心理疏导于一体 </w:t>
            </w:r>
            <w:r>
              <w:rPr>
                <w:rFonts w:ascii="仿宋_GB2312" w:hAnsi="仿宋_GB2312" w:cs="仿宋_GB2312" w:eastAsia="仿宋_GB2312"/>
                <w:sz w:val="18"/>
                <w:color w:val="333333"/>
                <w:shd w:fill="FFFFFF" w:val="clear"/>
              </w:rPr>
              <w:t>的综合服务平台，组</w:t>
            </w:r>
            <w:r>
              <w:rPr>
                <w:rFonts w:ascii="仿宋_GB2312" w:hAnsi="仿宋_GB2312" w:cs="仿宋_GB2312" w:eastAsia="仿宋_GB2312"/>
                <w:sz w:val="18"/>
                <w:color w:val="333333"/>
                <w:shd w:fill="FFFFFF" w:val="clear"/>
              </w:rPr>
              <w:t>“调解员+法律顾问+乡贤”的调解队伍，定期开展培训。</w:t>
            </w:r>
          </w:p>
          <w:p>
            <w:pPr>
              <w:pStyle w:val="null3"/>
              <w:ind w:firstLine="480"/>
              <w:jc w:val="left"/>
            </w:pPr>
            <w:r>
              <w:rPr>
                <w:rFonts w:ascii="仿宋_GB2312" w:hAnsi="仿宋_GB2312" w:cs="仿宋_GB2312" w:eastAsia="仿宋_GB2312"/>
                <w:sz w:val="18"/>
                <w:color w:val="333333"/>
                <w:shd w:fill="FFFFFF" w:val="clear"/>
              </w:rPr>
              <w:t>2、打造公</w:t>
            </w:r>
            <w:r>
              <w:rPr>
                <w:rFonts w:ascii="仿宋_GB2312" w:hAnsi="仿宋_GB2312" w:cs="仿宋_GB2312" w:eastAsia="仿宋_GB2312"/>
                <w:sz w:val="18"/>
                <w:color w:val="333333"/>
                <w:shd w:fill="FFFFFF" w:val="clear"/>
              </w:rPr>
              <w:t>共法律服务室。设置接待区、资料查阅区。</w:t>
            </w:r>
          </w:p>
          <w:p>
            <w:pPr>
              <w:pStyle w:val="null3"/>
              <w:ind w:firstLine="480"/>
              <w:jc w:val="left"/>
            </w:pPr>
            <w:r>
              <w:rPr>
                <w:rFonts w:ascii="仿宋_GB2312" w:hAnsi="仿宋_GB2312" w:cs="仿宋_GB2312" w:eastAsia="仿宋_GB2312"/>
                <w:sz w:val="18"/>
                <w:color w:val="333333"/>
                <w:shd w:fill="FFFFFF" w:val="clear"/>
              </w:rPr>
              <w:t xml:space="preserve">3、制作普法宣传短视 频，制作内容涵盖《民法典》《土地管理法》 </w:t>
            </w:r>
            <w:r>
              <w:rPr>
                <w:rFonts w:ascii="仿宋_GB2312" w:hAnsi="仿宋_GB2312" w:cs="仿宋_GB2312" w:eastAsia="仿宋_GB2312"/>
                <w:sz w:val="18"/>
                <w:color w:val="333333"/>
                <w:shd w:fill="FFFFFF" w:val="clear"/>
              </w:rPr>
              <w:t>《婚姻家庭法》《未成年人保护法》等与村民生活密切相关的法律、法规。</w:t>
            </w:r>
          </w:p>
          <w:p>
            <w:pPr>
              <w:pStyle w:val="null3"/>
              <w:ind w:firstLine="480"/>
              <w:jc w:val="left"/>
            </w:pPr>
            <w:r>
              <w:rPr>
                <w:rFonts w:ascii="仿宋_GB2312" w:hAnsi="仿宋_GB2312" w:cs="仿宋_GB2312" w:eastAsia="仿宋_GB2312"/>
                <w:sz w:val="18"/>
                <w:color w:val="333333"/>
                <w:shd w:fill="FFFFFF" w:val="clear"/>
              </w:rPr>
              <w:t>4、乡村法治文化建设。制作法治文化连体报栏、法治剪纸墙道旗等。</w:t>
            </w:r>
          </w:p>
          <w:p>
            <w:pPr>
              <w:pStyle w:val="null3"/>
              <w:ind w:firstLine="480"/>
              <w:jc w:val="left"/>
            </w:pP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 xml:space="preserve"> </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符合国家及行业标准。满足采购人需求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符合国家及行业标准。满足采购人需求</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各供应商应根据“陕西省财政厅 陕财办采函[2023]14号文”《陕西省财政厅关于省级预算单位全面推行政府采购项目电子化交易的通知》、“陕西省财政厅陕财办采[2022]9号文”《政府采购项目电子化交易规则》等文件的要求，做好人员配备、设施设备的相应准备，熟悉并正确实施相关操作流程，承担由于操作或其他因素造成的不利后果。</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XXXX或XXXX年度经审计的财务报告（包含审计报告和审计报告中所涉及的财务报表和报表附注），②可提供XXXX或XXXX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技术服务合同条款及其他商务要求应答表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技术服务合同条款及其他商务要求应答表 响应函 监狱企业的证明文件</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响应文件封面 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在中华人民共和国境内注册的法人或其他组织或自然人，投标（响应）时提交有效的营业执照（或事业法人登记证或身份证等相关证明）副本复印件。分支机构参与的，须提供总公司和分公司营业执照副本复印件及总公司出具给分支机构的授权书。</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或2024年度经审计的财务报告（包括“四表一注”，即资产负债表、利润表、现金流量表、所有者权益变动表及其附注，成立时间至提交投标文件截止时间不足一年的可提供成立后任意时段的财务报表），或其开标前六个月内基本开户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提供开标前一年内已缴纳任意一个月完税凭证或税务机关开具的完税证明（任意税种）；依法免税的应提供相关文件证明，零纳税的提供申报表；</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法人授权书</w:t>
            </w:r>
          </w:p>
        </w:tc>
        <w:tc>
          <w:tcPr>
            <w:tcW w:type="dxa" w:w="3322"/>
          </w:tcPr>
          <w:p>
            <w:pPr>
              <w:pStyle w:val="null3"/>
            </w:pPr>
            <w:r>
              <w:rPr>
                <w:rFonts w:ascii="仿宋_GB2312" w:hAnsi="仿宋_GB2312" w:cs="仿宋_GB2312" w:eastAsia="仿宋_GB2312"/>
              </w:rPr>
              <w:t>法定代表人直接参加投标的，须出具法定代表人身份证明书及身份证；法定代表人授权代表参加投标的，须出具法定代表人授权书及授权代表身份证；</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名单的投标人，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供应商参加本次政府采购活动前3年内在经营活动中没有重大违纪的书面声明；</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投标人关联关系声明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联合体响应</w:t>
            </w:r>
          </w:p>
        </w:tc>
        <w:tc>
          <w:tcPr>
            <w:tcW w:type="dxa" w:w="3322"/>
          </w:tcPr>
          <w:p>
            <w:pPr>
              <w:pStyle w:val="null3"/>
            </w:pPr>
            <w:r>
              <w:rPr>
                <w:rFonts w:ascii="仿宋_GB2312" w:hAnsi="仿宋_GB2312" w:cs="仿宋_GB2312" w:eastAsia="仿宋_GB2312"/>
              </w:rPr>
              <w:t>提供非联合体不分包响应声明</w:t>
            </w:r>
          </w:p>
        </w:tc>
        <w:tc>
          <w:tcPr>
            <w:tcW w:type="dxa" w:w="1661"/>
          </w:tcPr>
          <w:p>
            <w:pPr>
              <w:pStyle w:val="null3"/>
            </w:pPr>
            <w:r>
              <w:rPr>
                <w:rFonts w:ascii="仿宋_GB2312" w:hAnsi="仿宋_GB2312" w:cs="仿宋_GB2312" w:eastAsia="仿宋_GB2312"/>
              </w:rPr>
              <w:t>响应文件封面 投标人应提交的相关资格证明.docx.docx 中小企业声明函 残疾人福利性单位声明函 响应函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费用组成表.docx 技术服务合同条款及其他商务要求应答表 响应文件封面 投标人应提交的相关资格证明.docx.docx 残疾人福利性单位声明函 报价函 标的清单 保证金缴纳凭证.docx 供应商类似项目业绩一览表 响应函 服务方案.docx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供应商针对项目提供整体实施方案，思路清晰、架构完整，从实施标准、工作计划、投入设备的合理性、详细性、完整性等进行描述。 1、整体实施方案科学、实用，工作计划、投入设备合理、详细、完整，计10.1-15分； 2、整体实施方案科学性、实用性一般，工作计划、投入设备较合理、详细、完整，计5.1-10分； 3、整体实施方案科学性、实用性略差，工作计划、投入设备存在明显缺项、漏项，计0-5分。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工作人员安排计划以及组织管理</w:t>
            </w:r>
          </w:p>
        </w:tc>
        <w:tc>
          <w:tcPr>
            <w:tcW w:type="dxa" w:w="2492"/>
          </w:tcPr>
          <w:p>
            <w:pPr>
              <w:pStyle w:val="null3"/>
            </w:pPr>
            <w:r>
              <w:rPr>
                <w:rFonts w:ascii="仿宋_GB2312" w:hAnsi="仿宋_GB2312" w:cs="仿宋_GB2312" w:eastAsia="仿宋_GB2312"/>
              </w:rPr>
              <w:t>能够有效实施作业服务工作，项目团队配置分布合理，团队架构清晰，分工明确，人员配置、力量和时间有保证得7.1-10分；项目团队配置分布合理性较清晰，团队架构清晰度较强，人员配置、力量不足得5.1-7分；团队成员构成情况有所欠缺得0-5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供应商针对本项目的质量目标、管理保障制度、质量监管方法及措施等方案的科学性、合理性、可行性进行综合评分。方案措施全面、合理、有效、可操作性强的得10.1-15分；基本合理、有效的得5.1-10分；一般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应急保证措施</w:t>
            </w:r>
          </w:p>
        </w:tc>
        <w:tc>
          <w:tcPr>
            <w:tcW w:type="dxa" w:w="2492"/>
          </w:tcPr>
          <w:p>
            <w:pPr>
              <w:pStyle w:val="null3"/>
            </w:pPr>
            <w:r>
              <w:rPr>
                <w:rFonts w:ascii="仿宋_GB2312" w:hAnsi="仿宋_GB2312" w:cs="仿宋_GB2312" w:eastAsia="仿宋_GB2312"/>
              </w:rPr>
              <w:t>对项目关键性技术问题、处理工艺的分析以及提供设备运营等应急预案进行分析。方案措施全面、合理、有效、可操作性强的得10.1-15分；基本合理、有效的得5.1-10分；一般的得0-5分。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安全、文明和环保方案科学合理可行的得10.1-15分；基本合理、有效的得5.1-10分；一般的得0-5分。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近三年以来具有一项同类项目业绩得5分，该项最多得15分；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投标报价最低的报价为评标基准价，其价格分为满分。（因落实政府采购政策进行价格调整的，以调整后的价格计算评标基准价和投标报价）其他投标人的价格分按照下列公式计算：投标报价得分＝（评标基准价/投标报价）×价格分值。价格得分四舍五入保留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费用组成表.docx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详见附件：费用组成表.docx</w:t>
      </w:r>
    </w:p>
    <w:p>
      <w:pPr>
        <w:pStyle w:val="null3"/>
        <w:ind w:firstLine="960"/>
      </w:pPr>
      <w:r>
        <w:rPr>
          <w:rFonts w:ascii="仿宋_GB2312" w:hAnsi="仿宋_GB2312" w:cs="仿宋_GB2312" w:eastAsia="仿宋_GB2312"/>
        </w:rPr>
        <w:t>详见附件：投标人应提交的相关资格证明.docx.docx</w:t>
      </w:r>
    </w:p>
    <w:p>
      <w:pPr>
        <w:pStyle w:val="null3"/>
        <w:ind w:firstLine="960"/>
      </w:pPr>
      <w:r>
        <w:rPr>
          <w:rFonts w:ascii="仿宋_GB2312" w:hAnsi="仿宋_GB2312" w:cs="仿宋_GB2312" w:eastAsia="仿宋_GB2312"/>
        </w:rPr>
        <w:t>详见附件：保证金缴纳凭证.docx</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详见附件：政府采购合同.docx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