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版本号：ZCSP-耀州区-2025-00099、HXCT-WN-【2025】-11.1BG120251112001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2025年耀州区第二批农业防灾减灾（抗旱救灾）资金（抗旱设备采购）(二次)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ZCSP-耀州区-2025-00099、HXCT-WN-【2025】-11.1BG1</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2025年耀州区第二批农业防灾减灾（抗旱救灾）资金（抗旱设备采购）(二次)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ZCSP-耀州区-2025-00099、HXCT-WN-【2025】-11.1BG1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2025年耀州区第二批农业防灾减灾（抗旱救灾）资金（抗旱设备采购）(二次)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购置并安装潜水泵和移动式喷灌机各24台,其中：风冷型喷灌机22台，水冷型喷灌机2台，潜水泵24台。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采购包1（2025年耀州区第二批农业防灾减灾（抗旱救灾）资金（抗旱设备采购））：属于专门面向小微企业采购。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5、履约能力：具备履行合同所必需的设备和专业技术能力（提供承诺书）。</w:t>
      </w:r>
    </w:p>
    <w:p>
      <w:pPr>
        <w:pStyle w:val="null3"/>
      </w:pPr>
      <w:r>
        <w:rPr>
          <w:rFonts w:ascii="仿宋_GB2312" w:hAnsi="仿宋_GB2312" w:cs="仿宋_GB2312" w:eastAsia="仿宋_GB2312"/>
        </w:rPr>
        <w:t>6、无重大违法记录：提供参加政府采购活动前三年内在经营活动中没有重大违法记录的书面声明（提供书面声明，加盖供应商公章）。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身份证明或法定代表人授权委托书：法定代表人授权委托书（附法定代表人身份证复印件及被授权人身份证复印件）；法定代表人直接参加投标提供法定代表人身份证明（附法定代表人身份证复印件）；投标文件中凡是需要法定代表人盖章之处，非法人单位的负责人均参照执行。</w:t>
      </w:r>
    </w:p>
    <w:p>
      <w:pPr>
        <w:pStyle w:val="null3"/>
      </w:pPr>
      <w:r>
        <w:rPr>
          <w:rFonts w:ascii="仿宋_GB2312" w:hAnsi="仿宋_GB2312" w:cs="仿宋_GB2312" w:eastAsia="仿宋_GB2312"/>
        </w:rPr>
        <w:t>8、信用查询：不得为“中国执行信息公开网（http://zxgk.court.gov.cn/）”网站被列为失信被执行人；不得在“信用中国”（www.creditchina.gov.cn）网站被列入重大税收违法失信主体；不得在“中国政府采购网”（www.ccgp.gov.cn）网站被列入政府采购严重违法失信行为记录名单。</w:t>
      </w:r>
    </w:p>
    <w:p>
      <w:pPr>
        <w:pStyle w:val="null3"/>
      </w:pPr>
      <w:r>
        <w:rPr>
          <w:rFonts w:ascii="仿宋_GB2312" w:hAnsi="仿宋_GB2312" w:cs="仿宋_GB2312" w:eastAsia="仿宋_GB2312"/>
        </w:rPr>
        <w:t>9、企业关联关系：单位负责人为同一人或者存在控股、管理关系的不同单位不得同时参加。</w:t>
      </w:r>
    </w:p>
    <w:p>
      <w:pPr>
        <w:pStyle w:val="null3"/>
      </w:pPr>
      <w:r>
        <w:rPr>
          <w:rFonts w:ascii="仿宋_GB2312" w:hAnsi="仿宋_GB2312" w:cs="仿宋_GB2312" w:eastAsia="仿宋_GB2312"/>
        </w:rPr>
        <w:t>10、联合体情况：本项目不接受联合体投标（提供承诺书）。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陕西省铜川市耀州区锦阳新城综合楼10楼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18291535033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349075717@qq.com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17389284092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汇款账号：1、账户名称：华夏城投项目管理有限公司渭南分公司 2、开 户 行：中国银行渭南仓程路支行 3、账 号：103260621838 财务联系方式：15291432591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符合国家及行业有关规范和标准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联系人：张晓艳</w:t>
      </w:r>
    </w:p>
    <w:p>
      <w:pPr>
        <w:pStyle w:val="null3"/>
      </w:pPr>
      <w:r>
        <w:rPr>
          <w:rFonts w:ascii="仿宋_GB2312" w:hAnsi="仿宋_GB2312" w:cs="仿宋_GB2312" w:eastAsia="仿宋_GB2312"/>
        </w:rPr>
        <w:t>联系电话：17389284092</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购置并安装潜水泵和移动式喷灌机各</w:t>
      </w:r>
      <w:r>
        <w:rPr>
          <w:rFonts w:ascii="仿宋_GB2312" w:hAnsi="仿宋_GB2312" w:cs="仿宋_GB2312" w:eastAsia="仿宋_GB2312"/>
        </w:rPr>
        <w:t>24台,其中：风冷型喷灌机2</w:t>
      </w:r>
      <w:r>
        <w:rPr>
          <w:rFonts w:ascii="仿宋_GB2312" w:hAnsi="仿宋_GB2312" w:cs="仿宋_GB2312" w:eastAsia="仿宋_GB2312"/>
        </w:rPr>
        <w:t>2</w:t>
      </w:r>
      <w:r>
        <w:rPr>
          <w:rFonts w:ascii="仿宋_GB2312" w:hAnsi="仿宋_GB2312" w:cs="仿宋_GB2312" w:eastAsia="仿宋_GB2312"/>
        </w:rPr>
        <w:t>台，水冷型喷灌机</w:t>
      </w:r>
      <w:r>
        <w:rPr>
          <w:rFonts w:ascii="仿宋_GB2312" w:hAnsi="仿宋_GB2312" w:cs="仿宋_GB2312" w:eastAsia="仿宋_GB2312"/>
        </w:rPr>
        <w:t>2台，潜水泵24台。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喷灌设备</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523,200.00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潜水泵</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106,800.00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标的名称：喷灌设备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台</w:t>
            </w:r>
          </w:p>
          <w:p>
            <w:pPr>
              <w:pStyle w:val="null3"/>
              <w:jc w:val="both"/>
            </w:pPr>
            <w:r>
              <w:rPr>
                <w:rFonts w:ascii="仿宋_GB2312" w:hAnsi="仿宋_GB2312" w:cs="仿宋_GB2312" w:eastAsia="仿宋_GB2312"/>
                <w:sz w:val="20"/>
              </w:rPr>
              <w:t>风冷柴油机水泵机组：发动机：风冷</w:t>
            </w:r>
            <w:r>
              <w:rPr>
                <w:rFonts w:ascii="仿宋_GB2312" w:hAnsi="仿宋_GB2312" w:cs="仿宋_GB2312" w:eastAsia="仿宋_GB2312"/>
                <w:sz w:val="20"/>
              </w:rPr>
              <w:t>；标定功率</w:t>
            </w:r>
            <w:r>
              <w:rPr>
                <w:rFonts w:ascii="仿宋_GB2312" w:hAnsi="仿宋_GB2312" w:cs="仿宋_GB2312" w:eastAsia="仿宋_GB2312"/>
                <w:sz w:val="20"/>
              </w:rPr>
              <w:t>≥</w:t>
            </w:r>
            <w:r>
              <w:rPr>
                <w:rFonts w:ascii="仿宋_GB2312" w:hAnsi="仿宋_GB2312" w:cs="仿宋_GB2312" w:eastAsia="仿宋_GB2312"/>
                <w:sz w:val="20"/>
              </w:rPr>
              <w:t>9.2KW；标定转速</w:t>
            </w:r>
            <w:r>
              <w:rPr>
                <w:rFonts w:ascii="仿宋_GB2312" w:hAnsi="仿宋_GB2312" w:cs="仿宋_GB2312" w:eastAsia="仿宋_GB2312"/>
                <w:sz w:val="20"/>
              </w:rPr>
              <w:t>≥</w:t>
            </w:r>
            <w:r>
              <w:rPr>
                <w:rFonts w:ascii="仿宋_GB2312" w:hAnsi="仿宋_GB2312" w:cs="仿宋_GB2312" w:eastAsia="仿宋_GB2312"/>
                <w:sz w:val="20"/>
              </w:rPr>
              <w:t>3600r/min；扬程</w:t>
            </w:r>
            <w:r>
              <w:rPr>
                <w:rFonts w:ascii="仿宋_GB2312" w:hAnsi="仿宋_GB2312" w:cs="仿宋_GB2312" w:eastAsia="仿宋_GB2312"/>
                <w:sz w:val="20"/>
              </w:rPr>
              <w:t>≥</w:t>
            </w:r>
            <w:r>
              <w:rPr>
                <w:rFonts w:ascii="仿宋_GB2312" w:hAnsi="仿宋_GB2312" w:cs="仿宋_GB2312" w:eastAsia="仿宋_GB2312"/>
                <w:sz w:val="20"/>
              </w:rPr>
              <w:t>120m；流量</w:t>
            </w:r>
            <w:r>
              <w:rPr>
                <w:rFonts w:ascii="仿宋_GB2312" w:hAnsi="仿宋_GB2312" w:cs="仿宋_GB2312" w:eastAsia="仿宋_GB2312"/>
                <w:sz w:val="20"/>
              </w:rPr>
              <w:t>≥</w:t>
            </w:r>
            <w:r>
              <w:rPr>
                <w:rFonts w:ascii="仿宋_GB2312" w:hAnsi="仿宋_GB2312" w:cs="仿宋_GB2312" w:eastAsia="仿宋_GB2312"/>
                <w:sz w:val="20"/>
              </w:rPr>
              <w:t>70m³/h；吸程</w:t>
            </w:r>
            <w:r>
              <w:rPr>
                <w:rFonts w:ascii="仿宋_GB2312" w:hAnsi="仿宋_GB2312" w:cs="仿宋_GB2312" w:eastAsia="仿宋_GB2312"/>
                <w:sz w:val="20"/>
              </w:rPr>
              <w:t>≥</w:t>
            </w:r>
            <w:r>
              <w:rPr>
                <w:rFonts w:ascii="仿宋_GB2312" w:hAnsi="仿宋_GB2312" w:cs="仿宋_GB2312" w:eastAsia="仿宋_GB2312"/>
                <w:sz w:val="20"/>
              </w:rPr>
              <w:t>9m；</w:t>
            </w:r>
          </w:p>
          <w:p>
            <w:pPr>
              <w:pStyle w:val="null3"/>
              <w:jc w:val="both"/>
            </w:pPr>
            <w:r>
              <w:rPr>
                <w:rFonts w:ascii="仿宋_GB2312" w:hAnsi="仿宋_GB2312" w:cs="仿宋_GB2312" w:eastAsia="仿宋_GB2312"/>
                <w:sz w:val="20"/>
              </w:rPr>
              <w:t>出水管：</w:t>
            </w:r>
            <w:r>
              <w:rPr>
                <w:rFonts w:ascii="仿宋_GB2312" w:hAnsi="仿宋_GB2312" w:cs="仿宋_GB2312" w:eastAsia="仿宋_GB2312"/>
                <w:sz w:val="20"/>
              </w:rPr>
              <w:t>13型加厚防爆水带2.5寸；</w:t>
            </w:r>
          </w:p>
          <w:p>
            <w:pPr>
              <w:pStyle w:val="null3"/>
              <w:jc w:val="both"/>
            </w:pPr>
            <w:r>
              <w:rPr>
                <w:rFonts w:ascii="仿宋_GB2312" w:hAnsi="仿宋_GB2312" w:cs="仿宋_GB2312" w:eastAsia="仿宋_GB2312"/>
                <w:sz w:val="20"/>
              </w:rPr>
              <w:t>喷枪：</w:t>
            </w:r>
            <w:r>
              <w:rPr>
                <w:rFonts w:ascii="仿宋_GB2312" w:hAnsi="仿宋_GB2312" w:cs="仿宋_GB2312" w:eastAsia="仿宋_GB2312"/>
                <w:sz w:val="20"/>
              </w:rPr>
              <w:t>50涡轮喷枪+30涡轮喷枪；</w:t>
            </w:r>
          </w:p>
          <w:p>
            <w:pPr>
              <w:pStyle w:val="null3"/>
              <w:jc w:val="both"/>
            </w:pPr>
            <w:r>
              <w:rPr>
                <w:rFonts w:ascii="仿宋_GB2312" w:hAnsi="仿宋_GB2312" w:cs="仿宋_GB2312" w:eastAsia="仿宋_GB2312"/>
                <w:sz w:val="20"/>
              </w:rPr>
              <w:t>进水管：</w:t>
            </w:r>
            <w:r>
              <w:rPr>
                <w:rFonts w:ascii="仿宋_GB2312" w:hAnsi="仿宋_GB2312" w:cs="仿宋_GB2312" w:eastAsia="仿宋_GB2312"/>
                <w:sz w:val="20"/>
              </w:rPr>
              <w:t>3寸进水管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2台</w:t>
            </w:r>
          </w:p>
          <w:p>
            <w:pPr>
              <w:pStyle w:val="null3"/>
              <w:jc w:val="both"/>
            </w:pPr>
            <w:r>
              <w:rPr>
                <w:rFonts w:ascii="仿宋_GB2312" w:hAnsi="仿宋_GB2312" w:cs="仿宋_GB2312" w:eastAsia="仿宋_GB2312"/>
                <w:sz w:val="20"/>
              </w:rPr>
              <w:t>水冷柴油机水泵机组</w:t>
            </w:r>
            <w:r>
              <w:rPr>
                <w:rFonts w:ascii="仿宋_GB2312" w:hAnsi="仿宋_GB2312" w:cs="仿宋_GB2312" w:eastAsia="仿宋_GB2312"/>
                <w:sz w:val="20"/>
              </w:rPr>
              <w:t>:发动机：水冷；标定功率</w:t>
            </w:r>
            <w:r>
              <w:rPr>
                <w:rFonts w:ascii="仿宋_GB2312" w:hAnsi="仿宋_GB2312" w:cs="仿宋_GB2312" w:eastAsia="仿宋_GB2312"/>
                <w:sz w:val="20"/>
              </w:rPr>
              <w:t>≥</w:t>
            </w:r>
            <w:r>
              <w:rPr>
                <w:rFonts w:ascii="仿宋_GB2312" w:hAnsi="仿宋_GB2312" w:cs="仿宋_GB2312" w:eastAsia="仿宋_GB2312"/>
                <w:sz w:val="20"/>
              </w:rPr>
              <w:t>24KW；标定转速</w:t>
            </w:r>
            <w:r>
              <w:rPr>
                <w:rFonts w:ascii="仿宋_GB2312" w:hAnsi="仿宋_GB2312" w:cs="仿宋_GB2312" w:eastAsia="仿宋_GB2312"/>
                <w:sz w:val="20"/>
              </w:rPr>
              <w:t>≥</w:t>
            </w:r>
            <w:r>
              <w:rPr>
                <w:rFonts w:ascii="仿宋_GB2312" w:hAnsi="仿宋_GB2312" w:cs="仿宋_GB2312" w:eastAsia="仿宋_GB2312"/>
                <w:sz w:val="20"/>
              </w:rPr>
              <w:t>2300r/min；扬程</w:t>
            </w:r>
            <w:r>
              <w:rPr>
                <w:rFonts w:ascii="仿宋_GB2312" w:hAnsi="仿宋_GB2312" w:cs="仿宋_GB2312" w:eastAsia="仿宋_GB2312"/>
                <w:sz w:val="20"/>
              </w:rPr>
              <w:t>≥</w:t>
            </w:r>
            <w:r>
              <w:rPr>
                <w:rFonts w:ascii="仿宋_GB2312" w:hAnsi="仿宋_GB2312" w:cs="仿宋_GB2312" w:eastAsia="仿宋_GB2312"/>
                <w:sz w:val="20"/>
              </w:rPr>
              <w:t>180m，流量</w:t>
            </w:r>
            <w:r>
              <w:rPr>
                <w:rFonts w:ascii="仿宋_GB2312" w:hAnsi="仿宋_GB2312" w:cs="仿宋_GB2312" w:eastAsia="仿宋_GB2312"/>
                <w:sz w:val="20"/>
              </w:rPr>
              <w:t>≥</w:t>
            </w:r>
            <w:r>
              <w:rPr>
                <w:rFonts w:ascii="仿宋_GB2312" w:hAnsi="仿宋_GB2312" w:cs="仿宋_GB2312" w:eastAsia="仿宋_GB2312"/>
                <w:sz w:val="20"/>
              </w:rPr>
              <w:t>96m³/h；</w:t>
            </w:r>
          </w:p>
          <w:p>
            <w:pPr>
              <w:pStyle w:val="null3"/>
              <w:jc w:val="both"/>
            </w:pPr>
            <w:r>
              <w:rPr>
                <w:rFonts w:ascii="仿宋_GB2312" w:hAnsi="仿宋_GB2312" w:cs="仿宋_GB2312" w:eastAsia="仿宋_GB2312"/>
                <w:sz w:val="20"/>
              </w:rPr>
              <w:t>出水管：</w:t>
            </w:r>
            <w:r>
              <w:rPr>
                <w:rFonts w:ascii="仿宋_GB2312" w:hAnsi="仿宋_GB2312" w:cs="仿宋_GB2312" w:eastAsia="仿宋_GB2312"/>
                <w:sz w:val="20"/>
              </w:rPr>
              <w:t>13型3寸加厚防爆水带；</w:t>
            </w:r>
          </w:p>
          <w:p>
            <w:pPr>
              <w:pStyle w:val="null3"/>
              <w:jc w:val="both"/>
            </w:pPr>
            <w:r>
              <w:rPr>
                <w:rFonts w:ascii="仿宋_GB2312" w:hAnsi="仿宋_GB2312" w:cs="仿宋_GB2312" w:eastAsia="仿宋_GB2312"/>
                <w:sz w:val="20"/>
              </w:rPr>
              <w:t>喷枪：推车款双</w:t>
            </w:r>
            <w:r>
              <w:rPr>
                <w:rFonts w:ascii="仿宋_GB2312" w:hAnsi="仿宋_GB2312" w:cs="仿宋_GB2312" w:eastAsia="仿宋_GB2312"/>
                <w:sz w:val="20"/>
              </w:rPr>
              <w:t>50涡轮喷枪；</w:t>
            </w:r>
          </w:p>
          <w:p>
            <w:pPr>
              <w:pStyle w:val="null3"/>
            </w:pPr>
            <w:r>
              <w:rPr>
                <w:rFonts w:ascii="仿宋_GB2312" w:hAnsi="仿宋_GB2312" w:cs="仿宋_GB2312" w:eastAsia="仿宋_GB2312"/>
                <w:sz w:val="20"/>
              </w:rPr>
              <w:t>进水管：</w:t>
            </w:r>
            <w:r>
              <w:rPr>
                <w:rFonts w:ascii="仿宋_GB2312" w:hAnsi="仿宋_GB2312" w:cs="仿宋_GB2312" w:eastAsia="仿宋_GB2312"/>
                <w:sz w:val="20"/>
              </w:rPr>
              <w:t>4寸进水管</w:t>
            </w:r>
          </w:p>
        </w:tc>
      </w:tr>
    </w:tbl>
    <w:p>
      <w:pPr>
        <w:pStyle w:val="null3"/>
      </w:pPr>
      <w:r>
        <w:rPr>
          <w:rFonts w:ascii="仿宋_GB2312" w:hAnsi="仿宋_GB2312" w:cs="仿宋_GB2312" w:eastAsia="仿宋_GB2312"/>
        </w:rPr>
        <w:t>标的名称：潜水泵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潜水泵机组：</w:t>
            </w: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3.5kw，380v双叶轮水泵；</w:t>
            </w:r>
          </w:p>
          <w:p>
            <w:pPr>
              <w:pStyle w:val="null3"/>
            </w:pPr>
            <w:r>
              <w:rPr>
                <w:rFonts w:ascii="仿宋_GB2312" w:hAnsi="仿宋_GB2312" w:cs="仿宋_GB2312" w:eastAsia="仿宋_GB2312"/>
                <w:sz w:val="20"/>
              </w:rPr>
              <w:t>出水管：</w:t>
            </w:r>
            <w:r>
              <w:rPr>
                <w:rFonts w:ascii="仿宋_GB2312" w:hAnsi="仿宋_GB2312" w:cs="仿宋_GB2312" w:eastAsia="仿宋_GB2312"/>
                <w:sz w:val="20"/>
              </w:rPr>
              <w:t>13型加厚防爆水带2.5寸。</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合同签订后60个日历日内完成货物的配送、交付、安装调试及验收。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售后：设备质量出现问题，供应商2年内负责维修或更换；后续5年内，每年灌溉时节，由供应商免费负责抗旱灌溉作业。详见合同文本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成交人在领成交通知书时须提供纸质响应文件正本一份、副本二份，电子版三份用于存档。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身份证明（附法定代表人身份证复印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中国执行信息公开网（http://zxgk.court.gov.cn/）”网站被列为失信被执行人；不得在“信用中国”（www.creditchina.gov.cn）网站被列入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（1）对招标文件响应程度：要求全面响应，不能有任何采购人不能接受的附加条件。 （2）拟提供服务响应程度：应满足招标文件提出的技术和服务要求。 （3）交货期：自合同签订生效之日起10个日历天内完成供货。 （4）交货地点：采购人指定地点。 （5）投标有效期：应满足招标文件中的规定。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经过有效性和符合性审核合格的投标人，其商务应答完全响应招标文件商务要求的计3分。优于招标文件要求的每项另计0.5分，最多加2分。（招标文件商务要求为最低要求，不得负偏离。）</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供应产品完全满足采购文件最低技术要求的，得8分，根据偏离情况每优于一项加1分，最多加4分；每低于一项扣1分；扣完为止。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具有完善的组织生产、供货运输、安装调试等方案。项目实施计划阶段划分合理关键点明确，进度安排合理，并针对本项目特点做出合理计划及调配，计(10-15]分；技术方案基本完整、思路较清晰，语言表述较准确。项目实施计划阶段划分合理关键点较为明确，进度安排基本合理，针对本项目特点做出基本合理的计划及调配，计(5-10]分；技术方案不完整、思路不清晰，语言表述不够准确，前后不一致，进度安排不合理，不能针对本项目做出合理的计划，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提供产品合法来源证明材料（包括但不限于销售协议、代理协议、原厂授权等）。每提供一个产品相关材料得1分，计满5分为止。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详细的质量保证措施，质量保证措施得力，能有效地保障项目实施过程的衔接、保证项目质量。质量保证措施针对本项目并且全面、具体、可行、科学合理，能有效保证质量，(6-10]分；质量保证措施内容基本合理、可行，计(3-6]分；质量保证措施简单、可行性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可行的售后服务方案，方案有具体的售后服务内容、故障响应时间、响应方式等。售后服务方案及措施，详细、全面、科学合理、可行的，计(6-10]分；售后方案及措施基本全面、可行，计(3-6]分；售后方案及措施简单、可行性差，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方案应包括培训计划、培训时间、培训对象、操作维护方法、排除故障等方面，培训方案内容完整、合理可行，可操作性强，计(6-10]分；培训方案内容具有可操作性，计(3-6]分；培训方案空泛，无实质性内容，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提供2022年至今类似项目的合同（以签订时间为准），每提供一份中标项目完整合同业绩计1分，最高3分。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