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版本号：JTZB2025-03720251125002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2025年铜川市耀州区农村公路路面技术状况自动化检测服务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JTZB2025-037</w:t>
      </w:r>
      <w:r>
        <w:br/>
      </w:r>
      <w:r>
        <w:br/>
      </w:r>
      <w:r>
        <w:br/>
      </w:r>
    </w:p>
    <w:p>
      <w:pPr>
        <w:pStyle w:val="null3"/>
        <w:jc w:val="center"/>
        <w:outlineLvl w:val="2"/>
      </w:pPr>
      <w:r>
        <w:rPr>
          <w:rFonts w:ascii="仿宋_GB2312" w:hAnsi="仿宋_GB2312" w:cs="仿宋_GB2312" w:eastAsia="仿宋_GB2312"/>
          <w:sz w:val="28"/>
          <w:b/>
        </w:rPr>
        <w:t>铜川市耀州区交通运输局</w:t>
      </w:r>
    </w:p>
    <w:p>
      <w:pPr>
        <w:pStyle w:val="null3"/>
        <w:jc w:val="center"/>
        <w:outlineLvl w:val="2"/>
      </w:pPr>
      <w:r>
        <w:rPr>
          <w:rFonts w:ascii="仿宋_GB2312" w:hAnsi="仿宋_GB2312" w:cs="仿宋_GB2312" w:eastAsia="仿宋_GB2312"/>
          <w:sz w:val="28"/>
          <w:b/>
        </w:rPr>
        <w:t>陕西钧天项目管理有限公司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陕西钧天项目管理有限公司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铜川市耀州区交通运输局</w:t>
      </w:r>
      <w:r>
        <w:rPr>
          <w:rFonts w:ascii="仿宋_GB2312" w:hAnsi="仿宋_GB2312" w:cs="仿宋_GB2312" w:eastAsia="仿宋_GB2312"/>
        </w:rPr>
        <w:t>委托，拟对</w:t>
      </w:r>
      <w:r>
        <w:rPr>
          <w:rFonts w:ascii="仿宋_GB2312" w:hAnsi="仿宋_GB2312" w:cs="仿宋_GB2312" w:eastAsia="仿宋_GB2312"/>
        </w:rPr>
        <w:t>2025年铜川市耀州区农村公路路面技术状况自动化检测服务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JTZB2025-037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2025年铜川市耀州区农村公路路面技术状况自动化检测服务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2025年铜川市耀州区农村公路路面技术状况检测服务分布在铜川市耀州区各县道、乡道及村道，路线长度共计 1016 公里。检测路线为沥青路面和水泥混凝土路面，根据《农村公路技术状况评定标准》（JTG 5211-2024）要求及检测协议条款，对于三级、四级公路通过检测路面破损状况指数 PCI 和路面行驶质量指数 RQI，得出路面技术状况指数 PQI。 检测三级、四级公路不分上下行。公路技术状况的基本单元为千米路段。在行政等级、技术等级、路面类型、路面宽度、交叉口、出入口和管养等变化处可能存在非整千米路段。路面技术状况检测评定以 1000 米路段为基本单元。 根据路面技术状况评定结果，充分了解各路段路面损坏、平整度实际情况，为科学编制公路养护计划，积极实施预防性养护及决策提供客观依据。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采购包1（2025年铜川市耀州区农村公路路面技术状况自动化检测服务）：属于专门面向中小企业采购。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代表授权委托书：法定代表人参加投标的，须提供本人身份证复印件（附在资格证明文件中）；法定代表人授权他人参加投标的，须提供法定代表人授权委托书。采购文件中凡是需要法定代表人盖章之处，非法人单位的负责人均参照执行。</w:t>
      </w:r>
    </w:p>
    <w:p>
      <w:pPr>
        <w:pStyle w:val="null3"/>
      </w:pPr>
      <w:r>
        <w:rPr>
          <w:rFonts w:ascii="仿宋_GB2312" w:hAnsi="仿宋_GB2312" w:cs="仿宋_GB2312" w:eastAsia="仿宋_GB2312"/>
        </w:rPr>
        <w:t>3、财务状况报告：①提供近三年经审计任意一年的财务报告，包括“ 四表一注”（即资产负债表、利润表、现金流量表、所有者权益变动表（没有可不提供）及其附注，成立时间至提交投标文件截止时间不足一年的可提供成立后任意时段的资产负债表）②在开标截止日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4、税收缴纳证明：供应商须提供投标截止时间6个月内任意1个月的缴税证明（注：依法免税或零申报的供应商应提供相关文件证明）。</w:t>
      </w:r>
    </w:p>
    <w:p>
      <w:pPr>
        <w:pStyle w:val="null3"/>
      </w:pPr>
      <w:r>
        <w:rPr>
          <w:rFonts w:ascii="仿宋_GB2312" w:hAnsi="仿宋_GB2312" w:cs="仿宋_GB2312" w:eastAsia="仿宋_GB2312"/>
        </w:rPr>
        <w:t>5、社会保障资金缴纳证明：供应商须提供投标截止时间6个月内任意1个月的社会保险缴纳证明（注：依法不需要缴纳社会保障资金的供应商应提供相关文件证明）。</w:t>
      </w:r>
    </w:p>
    <w:p>
      <w:pPr>
        <w:pStyle w:val="null3"/>
      </w:pPr>
      <w:r>
        <w:rPr>
          <w:rFonts w:ascii="仿宋_GB2312" w:hAnsi="仿宋_GB2312" w:cs="仿宋_GB2312" w:eastAsia="仿宋_GB2312"/>
        </w:rPr>
        <w:t>6、专业技术能力：供应商须提供具有履行合同所必需的设备和专业技术能力的承诺函(加盖供应商公章)。</w:t>
      </w:r>
    </w:p>
    <w:p>
      <w:pPr>
        <w:pStyle w:val="null3"/>
      </w:pPr>
      <w:r>
        <w:rPr>
          <w:rFonts w:ascii="仿宋_GB2312" w:hAnsi="仿宋_GB2312" w:cs="仿宋_GB2312" w:eastAsia="仿宋_GB2312"/>
        </w:rPr>
        <w:t>7、资质证书：供应商须具备有效的交通运输主管部门颁发的公路工程试验检测机构综合乙级及以上（含乙级）资质，并具有检验检测机构资质认定证书（CMA 认证）。</w:t>
      </w:r>
    </w:p>
    <w:p>
      <w:pPr>
        <w:pStyle w:val="null3"/>
      </w:pPr>
      <w:r>
        <w:rPr>
          <w:rFonts w:ascii="仿宋_GB2312" w:hAnsi="仿宋_GB2312" w:cs="仿宋_GB2312" w:eastAsia="仿宋_GB2312"/>
        </w:rPr>
        <w:t>8、拟派项目负责人专业技术及相关要求：供应商拟派项目负责人需具备相关专业中级及以上技术职称，且为本单位就职人员，需提供2025年连续3个月缴纳社保证明。</w:t>
      </w:r>
    </w:p>
    <w:p>
      <w:pPr>
        <w:pStyle w:val="null3"/>
      </w:pPr>
      <w:r>
        <w:rPr>
          <w:rFonts w:ascii="仿宋_GB2312" w:hAnsi="仿宋_GB2312" w:cs="仿宋_GB2312" w:eastAsia="仿宋_GB2312"/>
        </w:rPr>
        <w:t>9、企业证明：供应商应具备良好的商业信誉，提供参加政府采购活动前3年内在经营活动中没有重大违法记录的书面声明（原件加盖供应商公章）。</w:t>
      </w:r>
    </w:p>
    <w:p>
      <w:pPr>
        <w:pStyle w:val="null3"/>
      </w:pPr>
      <w:r>
        <w:rPr>
          <w:rFonts w:ascii="仿宋_GB2312" w:hAnsi="仿宋_GB2312" w:cs="仿宋_GB2312" w:eastAsia="仿宋_GB2312"/>
        </w:rPr>
        <w:t>10、信用中国：未在“信用中国” 网站（www.creditchina.gov. cn）、“ 中国政府采购网”（ccgp.gov.cn）列入失信被执行人、重大税收违法案件当事人名单、政府采购严重违法失信行为记录名单(提供网页截图并加盖供应商公章）。</w:t>
      </w:r>
    </w:p>
    <w:p>
      <w:pPr>
        <w:pStyle w:val="null3"/>
      </w:pPr>
      <w:r>
        <w:rPr>
          <w:rFonts w:ascii="仿宋_GB2312" w:hAnsi="仿宋_GB2312" w:cs="仿宋_GB2312" w:eastAsia="仿宋_GB2312"/>
        </w:rPr>
        <w:t>11、控股管理关系：单位负责人为同一人或者存在直接控股、管理关系的不同投标人，不得参加同一合同项下的政府采购活动（提供承诺书）。</w:t>
      </w:r>
    </w:p>
    <w:p>
      <w:pPr>
        <w:pStyle w:val="null3"/>
      </w:pPr>
      <w:r>
        <w:rPr>
          <w:rFonts w:ascii="仿宋_GB2312" w:hAnsi="仿宋_GB2312" w:cs="仿宋_GB2312" w:eastAsia="仿宋_GB2312"/>
        </w:rPr>
        <w:t>12、本项目不接受联合体投标：本项目不接受联合体投标（提供书面声明材料）。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铜川市耀州区锦阳路83号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雷一亮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15399191673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陕西钧天项目管理有限公司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陕西省西安市市辖区陕西省西安市经济技术开发区高铁新城上林路1888号绿城柳岸晓风小区1幢11002室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15529192888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 [2002]1980号）和国家发展改革委员会办公厅颁发的《关于招标代理服务收费有关问题的通知 》（发改办价格[2011]534号）的有关规定计取。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铜川市耀州区交通运输局</w:t>
      </w:r>
      <w:r>
        <w:rPr>
          <w:rFonts w:ascii="仿宋_GB2312" w:hAnsi="仿宋_GB2312" w:cs="仿宋_GB2312" w:eastAsia="仿宋_GB2312"/>
        </w:rPr>
        <w:t>和</w:t>
      </w:r>
      <w:r>
        <w:rPr>
          <w:rFonts w:ascii="仿宋_GB2312" w:hAnsi="仿宋_GB2312" w:cs="仿宋_GB2312" w:eastAsia="仿宋_GB2312"/>
        </w:rPr>
        <w:t>陕西钧天项目管理有限公司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陕西钧天项目管理有限公司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陕西钧天项目管理有限公司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严格按照磋商文件及业主要求参数进行验收，同时满足国家相关规范，规定要求。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陕西钧天项目管理有限公司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陕西钧天项目管理有限公司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陕西钧天项目管理有限公司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联系人：李静</w:t>
      </w:r>
    </w:p>
    <w:p>
      <w:pPr>
        <w:pStyle w:val="null3"/>
      </w:pPr>
      <w:r>
        <w:rPr>
          <w:rFonts w:ascii="仿宋_GB2312" w:hAnsi="仿宋_GB2312" w:cs="仿宋_GB2312" w:eastAsia="仿宋_GB2312"/>
        </w:rPr>
        <w:t>联系电话：15529192888</w:t>
      </w:r>
    </w:p>
    <w:p>
      <w:pPr>
        <w:pStyle w:val="null3"/>
      </w:pPr>
      <w:r>
        <w:rPr>
          <w:rFonts w:ascii="仿宋_GB2312" w:hAnsi="仿宋_GB2312" w:cs="仿宋_GB2312" w:eastAsia="仿宋_GB2312"/>
        </w:rPr>
        <w:t>地址：铜川市新区正大路正大办公楼4楼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2025年铜川市耀州区农村公路路面技术状况检测服务分布在铜川市耀州区各县道、乡道及村道，路线长度共计 1016 公里。检测路线为沥青路面和水泥混凝土路面，根据《农村公路技术状况评定标准》（JTG 5211-2024）要求及检测协议条款，对于三级、四级公路通过检测路面破损状况指数 PCI 和路面行驶质量指数 RQI，得出路面技术状况指数 PQI。 检测三级、四级公路不分上下行。公路技术状况的基本单元为千米路段。在行政等级、技术等级、路面类型、路面宽度、交叉口、出入口和管养等变化处可能存在非整千米路段。路面技术状况检测评定以 1000 米路段为基本单元。 根据路面技术状况评定结果，充分了解各路段路面损坏、平整度实际情况，为科学编制公路养护计划，积极实施预防性养护及决策提供客观依据。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2025年铜川市耀州区农村公路路面技术状况自动化检测服务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标的名称：2025年铜川市耀州区农村公路路面技术状况自动化检测服务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一、项目概况</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 2025年铜川市耀州区农村公路路面技术状况检测分布在铜川市耀州区各县道、乡道及村道，路线长度共计 1016 公里。</w:t>
            </w:r>
          </w:p>
          <w:p>
            <w:pPr>
              <w:pStyle w:val="null3"/>
              <w:jc w:val="left"/>
            </w:pPr>
            <w:r>
              <w:rPr>
                <w:rFonts w:ascii="仿宋_GB2312" w:hAnsi="仿宋_GB2312" w:cs="仿宋_GB2312" w:eastAsia="仿宋_GB2312"/>
                <w:sz w:val="21"/>
                <w:color w:val="000000"/>
              </w:rPr>
              <w:t>二、工作依据</w:t>
            </w:r>
          </w:p>
          <w:p>
            <w:pPr>
              <w:pStyle w:val="null3"/>
              <w:ind w:firstLine="480"/>
              <w:jc w:val="left"/>
            </w:pPr>
            <w:r>
              <w:rPr>
                <w:rFonts w:ascii="仿宋_GB2312" w:hAnsi="仿宋_GB2312" w:cs="仿宋_GB2312" w:eastAsia="仿宋_GB2312"/>
                <w:sz w:val="21"/>
                <w:color w:val="000000"/>
              </w:rPr>
              <w:t>（1）《农村公路技术状况评定标准》（JTG 5211-2024）；</w:t>
            </w:r>
          </w:p>
          <w:p>
            <w:pPr>
              <w:pStyle w:val="null3"/>
              <w:ind w:firstLine="480"/>
              <w:jc w:val="left"/>
            </w:pPr>
            <w:r>
              <w:rPr>
                <w:rFonts w:ascii="仿宋_GB2312" w:hAnsi="仿宋_GB2312" w:cs="仿宋_GB2312" w:eastAsia="仿宋_GB2312"/>
                <w:sz w:val="21"/>
                <w:color w:val="000000"/>
              </w:rPr>
              <w:t>（2）《公路养护技术规范》（JTG H10-2009）；</w:t>
            </w:r>
          </w:p>
          <w:p>
            <w:pPr>
              <w:pStyle w:val="null3"/>
              <w:ind w:firstLine="480"/>
              <w:jc w:val="left"/>
            </w:pPr>
            <w:r>
              <w:rPr>
                <w:rFonts w:ascii="仿宋_GB2312" w:hAnsi="仿宋_GB2312" w:cs="仿宋_GB2312" w:eastAsia="仿宋_GB2312"/>
                <w:sz w:val="21"/>
                <w:color w:val="000000"/>
              </w:rPr>
              <w:t>（3）《公路沥青路面养护技术规范》（JTG 5412-2019）；</w:t>
            </w:r>
          </w:p>
          <w:p>
            <w:pPr>
              <w:pStyle w:val="null3"/>
              <w:ind w:firstLine="480"/>
              <w:jc w:val="left"/>
            </w:pPr>
            <w:r>
              <w:rPr>
                <w:rFonts w:ascii="仿宋_GB2312" w:hAnsi="仿宋_GB2312" w:cs="仿宋_GB2312" w:eastAsia="仿宋_GB2312"/>
                <w:sz w:val="21"/>
                <w:color w:val="000000"/>
              </w:rPr>
              <w:t>（4）《公路水泥混凝土路面养护技术规范》（JTJ 073.1-2001）；</w:t>
            </w:r>
          </w:p>
          <w:p>
            <w:pPr>
              <w:pStyle w:val="null3"/>
              <w:ind w:firstLine="480"/>
              <w:jc w:val="left"/>
            </w:pPr>
            <w:r>
              <w:rPr>
                <w:rFonts w:ascii="仿宋_GB2312" w:hAnsi="仿宋_GB2312" w:cs="仿宋_GB2312" w:eastAsia="仿宋_GB2312"/>
                <w:sz w:val="21"/>
                <w:color w:val="000000"/>
              </w:rPr>
              <w:t>（5）《公路路基路面现场测试规程》（JTG 3450-2019）；</w:t>
            </w:r>
          </w:p>
          <w:p>
            <w:pPr>
              <w:pStyle w:val="null3"/>
              <w:ind w:firstLine="480"/>
              <w:jc w:val="left"/>
            </w:pPr>
            <w:r>
              <w:rPr>
                <w:rFonts w:ascii="仿宋_GB2312" w:hAnsi="仿宋_GB2312" w:cs="仿宋_GB2312" w:eastAsia="仿宋_GB2312"/>
                <w:sz w:val="21"/>
                <w:color w:val="000000"/>
              </w:rPr>
              <w:t>（6）《多功能路况快速检测设备》（GB/T 26764-2011）；</w:t>
            </w:r>
          </w:p>
          <w:p>
            <w:pPr>
              <w:pStyle w:val="null3"/>
              <w:ind w:firstLine="480"/>
              <w:jc w:val="left"/>
            </w:pPr>
            <w:r>
              <w:rPr>
                <w:rFonts w:ascii="仿宋_GB2312" w:hAnsi="仿宋_GB2312" w:cs="仿宋_GB2312" w:eastAsia="仿宋_GB2312"/>
                <w:sz w:val="21"/>
                <w:color w:val="000000"/>
              </w:rPr>
              <w:t>（7）《公路路面技术状况自动化检测规程》（JTG/T E61-2014）；</w:t>
            </w:r>
          </w:p>
          <w:p>
            <w:pPr>
              <w:pStyle w:val="null3"/>
              <w:ind w:firstLine="480"/>
              <w:jc w:val="left"/>
            </w:pPr>
            <w:r>
              <w:rPr>
                <w:rFonts w:ascii="仿宋_GB2312" w:hAnsi="仿宋_GB2312" w:cs="仿宋_GB2312" w:eastAsia="仿宋_GB2312"/>
                <w:sz w:val="21"/>
                <w:color w:val="000000"/>
              </w:rPr>
              <w:t>（8）《数值修约规则与极限数值的表示和判定》（GB/T 8170-2008）；</w:t>
            </w:r>
          </w:p>
          <w:p>
            <w:pPr>
              <w:pStyle w:val="null3"/>
              <w:ind w:firstLine="480"/>
              <w:jc w:val="left"/>
            </w:pPr>
            <w:r>
              <w:rPr>
                <w:rFonts w:ascii="仿宋_GB2312" w:hAnsi="仿宋_GB2312" w:cs="仿宋_GB2312" w:eastAsia="仿宋_GB2312"/>
                <w:sz w:val="21"/>
                <w:color w:val="000000"/>
              </w:rPr>
              <w:t>（9）国家和行业现行的其他有关公路、规范、规程等；</w:t>
            </w:r>
          </w:p>
          <w:p>
            <w:pPr>
              <w:pStyle w:val="null3"/>
              <w:ind w:firstLine="480"/>
              <w:jc w:val="left"/>
            </w:pPr>
            <w:r>
              <w:rPr>
                <w:rFonts w:ascii="仿宋_GB2312" w:hAnsi="仿宋_GB2312" w:cs="仿宋_GB2312" w:eastAsia="仿宋_GB2312"/>
                <w:sz w:val="21"/>
                <w:color w:val="000000"/>
              </w:rPr>
              <w:t>（10）设计、施工相关文件、资料。</w:t>
            </w:r>
          </w:p>
          <w:p>
            <w:pPr>
              <w:pStyle w:val="null3"/>
              <w:jc w:val="left"/>
            </w:pPr>
            <w:r>
              <w:rPr>
                <w:rFonts w:ascii="仿宋_GB2312" w:hAnsi="仿宋_GB2312" w:cs="仿宋_GB2312" w:eastAsia="仿宋_GB2312"/>
                <w:sz w:val="21"/>
                <w:color w:val="000000"/>
              </w:rPr>
              <w:t>三、技术要求</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  依照工作依据相关规定进行技术检测服务，并满足采购人相关其他要求。</w:t>
            </w:r>
          </w:p>
          <w:p>
            <w:pPr>
              <w:pStyle w:val="null3"/>
              <w:jc w:val="left"/>
            </w:pPr>
            <w:r>
              <w:rPr>
                <w:rFonts w:ascii="仿宋_GB2312" w:hAnsi="仿宋_GB2312" w:cs="仿宋_GB2312" w:eastAsia="仿宋_GB2312"/>
                <w:sz w:val="21"/>
                <w:color w:val="000000"/>
              </w:rPr>
              <w:t>四、工作任务</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 本次检测路线为沥青路面和水泥混凝土路面，根据《农村公路技术状况评定标准》（JTG 5211-2024）要求及检测协议条款，对于三级、四级公路通过检测路面破损状况指数 PCI 和路面行驶质量指数 RQI，得出路面技术状况指数 PQI。 检测三级、四级公路不分上下行。公路技术状况的基本单元为千米路段。在行政等级、技术等级、路面类型、路面宽度、交叉口、出入口和管养等变化处可能存在非整千米路段。路面技术状况检测评定以 1000 米路段为基本单元。 根据路面技术状况评定结果，充分了解各路段路面损坏、平整度实际情况，为科学编制公路养护计划，积极实施预防性养护及决策提供客观依据。</w:t>
            </w:r>
          </w:p>
          <w:p>
            <w:pPr>
              <w:pStyle w:val="null3"/>
              <w:jc w:val="left"/>
            </w:pPr>
            <w:r>
              <w:rPr>
                <w:rFonts w:ascii="仿宋_GB2312" w:hAnsi="仿宋_GB2312" w:cs="仿宋_GB2312" w:eastAsia="仿宋_GB2312"/>
                <w:sz w:val="21"/>
                <w:color w:val="000000"/>
              </w:rPr>
              <w:t>五、提交主要成果</w:t>
            </w:r>
          </w:p>
          <w:p>
            <w:pPr>
              <w:pStyle w:val="null3"/>
              <w:ind w:firstLine="480"/>
              <w:jc w:val="left"/>
            </w:pPr>
            <w:r>
              <w:rPr>
                <w:rFonts w:ascii="仿宋_GB2312" w:hAnsi="仿宋_GB2312" w:cs="仿宋_GB2312" w:eastAsia="仿宋_GB2312"/>
                <w:sz w:val="21"/>
                <w:color w:val="000000"/>
              </w:rPr>
              <w:t>依据检测数据，对路面技术状况指数PQI、路面损坏状况指数PCI、路面行驶质量指数RQI进行评定，并形成路面技术状况报告</w:t>
            </w:r>
            <w:r>
              <w:rPr>
                <w:rFonts w:ascii="仿宋_GB2312" w:hAnsi="仿宋_GB2312" w:cs="仿宋_GB2312" w:eastAsia="仿宋_GB2312"/>
                <w:sz w:val="21"/>
                <w:color w:val="000000"/>
              </w:rPr>
              <w:t>。</w:t>
            </w:r>
          </w:p>
          <w:p>
            <w:pPr>
              <w:pStyle w:val="null3"/>
              <w:ind w:firstLine="480"/>
              <w:jc w:val="left"/>
            </w:pPr>
            <w:r>
              <w:rPr>
                <w:rFonts w:ascii="仿宋_GB2312" w:hAnsi="仿宋_GB2312" w:cs="仿宋_GB2312" w:eastAsia="仿宋_GB2312"/>
                <w:sz w:val="21"/>
                <w:color w:val="000000"/>
              </w:rPr>
              <w:t>按照上级要求完成检测任务、报告、数据上传、相关资料存档等工作，检测评定成果形成整套电子资料，按照采购人要求和纸质资料一并交采购人。</w:t>
            </w:r>
          </w:p>
          <w:p>
            <w:pPr>
              <w:pStyle w:val="null3"/>
              <w:ind w:firstLine="480"/>
              <w:jc w:val="left"/>
            </w:pPr>
            <w:r>
              <w:rPr>
                <w:rFonts w:ascii="仿宋_GB2312" w:hAnsi="仿宋_GB2312" w:cs="仿宋_GB2312" w:eastAsia="仿宋_GB2312"/>
                <w:sz w:val="21"/>
                <w:color w:val="000000"/>
              </w:rPr>
              <w:t>本次报告编写严格按照《农村公路技术状况评定标准》（JTG 5211-2024</w:t>
            </w:r>
            <w:r>
              <w:rPr>
                <w:rFonts w:ascii="仿宋_GB2312" w:hAnsi="仿宋_GB2312" w:cs="仿宋_GB2312" w:eastAsia="仿宋_GB2312"/>
                <w:sz w:val="21"/>
                <w:color w:val="000000"/>
              </w:rPr>
              <w:t>）</w:t>
            </w:r>
            <w:r>
              <w:rPr>
                <w:rFonts w:ascii="仿宋_GB2312" w:hAnsi="仿宋_GB2312" w:cs="仿宋_GB2312" w:eastAsia="仿宋_GB2312"/>
                <w:sz w:val="21"/>
                <w:color w:val="000000"/>
              </w:rPr>
              <w:t>和《公路路基路面现场测试规程》（JTG 3450-2019</w:t>
            </w:r>
            <w:r>
              <w:rPr>
                <w:rFonts w:ascii="仿宋_GB2312" w:hAnsi="仿宋_GB2312" w:cs="仿宋_GB2312" w:eastAsia="仿宋_GB2312"/>
                <w:sz w:val="21"/>
                <w:color w:val="000000"/>
              </w:rPr>
              <w:t>）</w:t>
            </w:r>
            <w:r>
              <w:rPr>
                <w:rFonts w:ascii="仿宋_GB2312" w:hAnsi="仿宋_GB2312" w:cs="仿宋_GB2312" w:eastAsia="仿宋_GB2312"/>
                <w:sz w:val="21"/>
                <w:color w:val="000000"/>
              </w:rPr>
              <w:t>文件要求进行。要加强检测数据的分析，除明确反映各种检测指标的统计、对比结果外，检测报告中应体现该项目工程中的重点和难点问题及对关键部位的质量状况，检测结果应对该项目结构安全和运营安全等方面有明确的检测结论。加强影像工作，检测报告中须附有现场检测工作照片，对存在质量缺陷部位的照片，必须附有比例尺参照，对检测报告中提出的问题必须附照片并编号。</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31个日历天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以采购人指定地点为准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严格按照磋商文件及业主要求参数进行验收，同时满足国家相关规范，规定要求。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项目服务完成后，由甲方验收通过后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在买方对卖方违约而采取的任何补救措施不受影响的情况下，买方可向卖方发出书面违约通知书，提出终止部分或全部合同： （1）如果卖方未能在合同规定的期限内或买方根据规定同意延长的期限内提供部分或全部货物，或误期赔偿费达到最高限额。 （2）如果卖方未能履行合同规定的其它任何义务。 （3）如果买方认为卖方在本合同的竞争和实施过程中有腐败和欺诈行为。为此目的，定义下述条件：“腐败行为”是指提供、给予、接受或索取任何有价值的物品来影响买方在采购过程或合同实施过程中的行为。 “欺诈行为”是指为了影响采购过程或合同实施过程而谎报或隐瞒事实，损害买方利益的行为。 因执行本合同所发生的或与本合同有关的一切争议,双方应通过友好协商解决。 如果协商开始后六十天还不能解决，双方可依以下一种方式解决： 1、双方达成仲裁协议，向约定的仲裁委员会申请仲裁。 2、向有管辖权的人民法院起诉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采购文件中凡是需要法定代表人盖章之处，非法人单位的负责人均参照执行。</w:t>
            </w:r>
          </w:p>
        </w:tc>
        <w:tc>
          <w:tcPr>
            <w:tcW w:type="dxa" w:w="1661"/>
          </w:tcPr>
          <w:p>
            <w:pPr>
              <w:pStyle w:val="null3"/>
            </w:pPr>
            <w:r>
              <w:rPr>
                <w:rFonts w:ascii="仿宋_GB2312" w:hAnsi="仿宋_GB2312" w:cs="仿宋_GB2312" w:eastAsia="仿宋_GB2312"/>
              </w:rPr>
              <w:t>授权委托书.docx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①提供近三年经审计任意一年的财务报告，包括“ 四表一注”（即资产负债表、利润表、现金流量表、所有者权益变动表（没有可不提供）及其附注，成立时间至提交投标文件截止时间不足一年的可提供成立后任意时段的资产负债表）②在开标截止日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供应商须提供投标截止时间6个月内任意1个月的缴税证明（注：依法免税或零申报的供应商应提供相关文件证明）。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供应商须提供投标截止时间6个月内任意1个月的社会保险缴纳证明（注：依法不需要缴纳社会保障资金的供应商应提供相关文件证明）。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供应商须具备有效的交通运输主管部门颁发的公路工程试验检测机构综合乙级及以上（含乙级）资质，并具有检验检测机构资质认定证书（CMA 认证）。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拟派项目负责人专业技术及相关要求</w:t>
            </w:r>
          </w:p>
        </w:tc>
        <w:tc>
          <w:tcPr>
            <w:tcW w:type="dxa" w:w="3322"/>
          </w:tcPr>
          <w:p>
            <w:pPr>
              <w:pStyle w:val="null3"/>
            </w:pPr>
            <w:r>
              <w:rPr>
                <w:rFonts w:ascii="仿宋_GB2312" w:hAnsi="仿宋_GB2312" w:cs="仿宋_GB2312" w:eastAsia="仿宋_GB2312"/>
              </w:rPr>
              <w:t>供应商拟派项目负责人需具备相关专业中级及以上技术职称，且为本单位就职人员，需提供2025年连续3个月缴纳社保证明。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企业证明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供应商应具备良好的商业信誉，提供参加政府采购活动前3年内在经营活动中没有重大违法记录的书面声明（原件加盖供应商公章）。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未在“信用中国” 网站（www.creditchina.gov. cn）、“ 中国政府采购网”（ccgp.gov.cn）列入失信被执行人、重大税收违法案件当事人名单、政府采购严重违法失信行为记录名单(提供网页截图并加盖供应商公章）。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 完全一致： （1）竞争性磋商响应文件封面 （2 ）响应函 （3）授权委托书/身份证明</w:t>
            </w:r>
          </w:p>
        </w:tc>
        <w:tc>
          <w:tcPr>
            <w:tcW w:type="dxa" w:w="1661"/>
          </w:tcPr>
          <w:p>
            <w:pPr>
              <w:pStyle w:val="null3"/>
            </w:pPr>
            <w:r>
              <w:rPr>
                <w:rFonts w:ascii="仿宋_GB2312" w:hAnsi="仿宋_GB2312" w:cs="仿宋_GB2312" w:eastAsia="仿宋_GB2312"/>
              </w:rPr>
              <w:t>响应文件封面 授权委托书.docx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服务内容及服务邀请应答表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 漏</w:t>
            </w:r>
          </w:p>
        </w:tc>
        <w:tc>
          <w:tcPr>
            <w:tcW w:type="dxa" w:w="1661"/>
          </w:tcPr>
          <w:p>
            <w:pPr>
              <w:pStyle w:val="null3"/>
            </w:pPr>
            <w:r>
              <w:rPr>
                <w:rFonts w:ascii="仿宋_GB2312" w:hAnsi="仿宋_GB2312" w:cs="仿宋_GB2312" w:eastAsia="仿宋_GB2312"/>
              </w:rPr>
              <w:t>服务内容及服务邀请应答表 授权委托书.docx 中小企业声明函 商务应答表 供应商应提交的相关资格证明材料 报价表 响应文件封面 供应商认为有必要补充说明的事项.docx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授权委托书.docx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 磋商文件要求 （2）报价符合唯一性要求 （3） 未超出采购预算或最高限价。</w:t>
            </w:r>
          </w:p>
        </w:tc>
        <w:tc>
          <w:tcPr>
            <w:tcW w:type="dxa" w:w="1661"/>
          </w:tcPr>
          <w:p>
            <w:pPr>
              <w:pStyle w:val="null3"/>
            </w:pPr>
            <w:r>
              <w:rPr>
                <w:rFonts w:ascii="仿宋_GB2312" w:hAnsi="仿宋_GB2312" w:cs="仿宋_GB2312" w:eastAsia="仿宋_GB2312"/>
              </w:rPr>
              <w:t>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提供针对本项目的项目实施方案，内容至少包括①项目组织架构；②实施标准；③工作方法；④工作部署与进度安排；⑤拟投入的专业设施和设备；⑥技术报告编写等。 以上内容专门针对本项目，且符合本项目实际需求的得12分，每缺一项扣2分，若上述内容存在瑕疵，每出现1项瑕疵扣1分，扣完为止。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重点、难点分析及解决措施</w:t>
            </w:r>
          </w:p>
        </w:tc>
        <w:tc>
          <w:tcPr>
            <w:tcW w:type="dxa" w:w="2492"/>
          </w:tcPr>
          <w:p>
            <w:pPr>
              <w:pStyle w:val="null3"/>
            </w:pPr>
            <w:r>
              <w:rPr>
                <w:rFonts w:ascii="仿宋_GB2312" w:hAnsi="仿宋_GB2312" w:cs="仿宋_GB2312" w:eastAsia="仿宋_GB2312"/>
              </w:rPr>
              <w:t>提供针对本项目的重点、难点分析及解决措施，内容至少包括①重、难点分析；②风险点分析；③解决措施等。 以上内容专门针对本项目，且符合本项目实际需求的得12分，每缺一项扣4分，若上述内容存在瑕疵，每出现1项瑕疵扣1分，扣完为止。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提供针对本项目的的管理制度，内容至少包括①业务质量控制制度；②档案管理制度；③风险控制制度等。 以上内容专门针对本项目，且符合本项目实际需求的得9分，每缺一项扣3分，若上述内容存在瑕疵，每出现1项瑕疵扣1分，扣完为止。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保证措施方案</w:t>
            </w:r>
          </w:p>
        </w:tc>
        <w:tc>
          <w:tcPr>
            <w:tcW w:type="dxa" w:w="2492"/>
          </w:tcPr>
          <w:p>
            <w:pPr>
              <w:pStyle w:val="null3"/>
            </w:pPr>
            <w:r>
              <w:rPr>
                <w:rFonts w:ascii="仿宋_GB2312" w:hAnsi="仿宋_GB2312" w:cs="仿宋_GB2312" w:eastAsia="仿宋_GB2312"/>
              </w:rPr>
              <w:t>提供针对本项目的保证措施方案，内容至少包括①项目进度保障措施；②成果保证措施；③安全保证措施等。 以上内容专门针对本项目，且符合本项目实际需求的得9分，每缺一项扣3分，若上述内容存在瑕疵，每出现1项瑕疵扣1分，扣完为止。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针对本项目服务人员的配备与管理。所配人员满足采购要求，内容至少包括①团队人员配置清单；②岗位职责安排；③团队管理制度（人员管理，任务分派，团队监督机制等）；④人员培训；⑤团队监管机制等。 以上内容专门针对本项目，且符合本项目实际需求的得10分，每缺一项扣2分，若上述内容存在瑕疵，每出现1项瑕疵扣1分，扣完为止。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针对本项目供应商提供应急预案，内容至少包括①疑难问题解答；②应急常识宣传及预案演练；③应急响应安排等方面。 以上内容专门针对本项目，且符合本项目实际需求的得9分，每缺一项扣3分，若上述内容存在瑕疵，每出现1项瑕疵扣1分，扣完为止。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供应商提供售后服务方案，内容至少包括①服务质量；②数据准确性；③服务响应时间；④服务期内团队稳定性等。 以上内容专门针对本项目，且符合本项目实际需求的得10分，每缺一项扣2.5分，若上述内容存在瑕疵，每出现1项瑕疵扣1分，扣完为止。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供应商根据采购内容及要求，提出合理化建议，建议切合实际、有针对性、对项目实施具有指导作用的得4分，否则不得分。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供应商提供2022年11月01日至今（以合同签订时间为准）的同类项目业绩，每提供一份得2分，满分10分。 注：响应文件中提供合同复印件加盖供应商公章。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完全满足磋商文件实质性要求且报价最低的投标报价为评标基准价，其价格分为满分15分；其他供应商报价得分按以下公式计算：投标报价得分=（评标基准价/投标报价）×15。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