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版本号：JTZB2025-03820251215003</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耀州区高级职业中学新校区集中供暖工程</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JTZB2025-038</w:t>
      </w:r>
      <w:r>
        <w:br/>
      </w:r>
      <w:r>
        <w:br/>
      </w:r>
      <w:r>
        <w:br/>
      </w:r>
      <w:r>
        <w:br/>
      </w:r>
      <w:r>
        <w:br/>
      </w:r>
    </w:p>
    <w:p>
      <w:pPr>
        <w:pStyle w:val="null3"/>
        <w:jc w:val="center"/>
        <w:outlineLvl w:val="5"/>
      </w:pPr>
      <w:r>
        <w:rPr>
          <w:rFonts w:ascii="仿宋_GB2312" w:hAnsi="仿宋_GB2312" w:cs="仿宋_GB2312" w:eastAsia="仿宋_GB2312"/>
          <w:sz w:val="15"/>
          <w:b/>
        </w:rPr>
        <w:t>铜川市耀州区高级职业中学</w:t>
      </w:r>
    </w:p>
    <w:p>
      <w:pPr>
        <w:pStyle w:val="null3"/>
        <w:jc w:val="center"/>
        <w:outlineLvl w:val="5"/>
      </w:pPr>
      <w:r>
        <w:rPr>
          <w:rFonts w:ascii="仿宋_GB2312" w:hAnsi="仿宋_GB2312" w:cs="仿宋_GB2312" w:eastAsia="仿宋_GB2312"/>
          <w:sz w:val="15"/>
          <w:b/>
        </w:rPr>
        <w:t>陕西钧天项目管理有限公司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铜川市耀州区高级职业中学</w:t>
      </w:r>
      <w:r>
        <w:rPr>
          <w:rFonts w:ascii="仿宋_GB2312" w:hAnsi="仿宋_GB2312" w:cs="仿宋_GB2312" w:eastAsia="仿宋_GB2312"/>
        </w:rPr>
        <w:t>委托，拟对</w:t>
      </w:r>
      <w:r>
        <w:rPr>
          <w:rFonts w:ascii="仿宋_GB2312" w:hAnsi="仿宋_GB2312" w:cs="仿宋_GB2312" w:eastAsia="仿宋_GB2312"/>
        </w:rPr>
        <w:t>耀州区高级职业中学新校区集中供暖工程</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耀州区高级职业中学新校区集中供暖工程</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《铜川市耀州区高级职业中学新校区集中供暖工程》室外供热管网热源由林园住宅小区换热站提供，接至职中现状室外供热管道检查井处。 根据现场踏勘、总图专业提供的总平面布置图进行设计，供热管网采用直埋和局 部地沟敷设；新建室外供热管网需满足职中现状宿舍楼、食堂等建筑热源。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采购包1（耀州区高级职业中学新校区集中供暖工程）：属于专门面向中小企业采购。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2、法人代表授权委托书：企业法人授权委托书和被授权人有效身份证件（法定代表人直接参加时，只须提供法定代表人身份证明）。</w:t>
      </w:r>
    </w:p>
    <w:p>
      <w:pPr>
        <w:pStyle w:val="null3"/>
      </w:pPr>
      <w:r>
        <w:rPr>
          <w:rFonts w:ascii="仿宋_GB2312" w:hAnsi="仿宋_GB2312" w:cs="仿宋_GB2312" w:eastAsia="仿宋_GB2312"/>
        </w:rPr>
        <w:t>3、财务状况报告：①提供近三年经审计任意一年的财务报告，包括“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9、本项目不接受联合体投标：本项目不接受联合体投标（提供书面声明材料）。</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铜川市耀州区高级职业中学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陕西省铜川市新区咸丰路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18992901248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采购包1：1,290,000.00元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铜川市耀州区高级职业中学</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铜川市耀州区高级职业中学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标的名称：耀州区高级职业中学新校区集中供暖工程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 xml:space="preserve">  《铜川市耀州区高级职业中学新校区集中供暖工程》室外供 热管网热源由林园住宅小区换热站提供，接至职中现状室外供热管道检查井处。 根据现场踏勘、总图专业提供的总平面布置图进行设计，供热管网采用直埋和局 部地沟敷设；新建室外供热管网需满足职中现状宿舍楼、食堂等建筑热源。</w:t>
            </w:r>
          </w:p>
          <w:p>
            <w:pPr>
              <w:pStyle w:val="null3"/>
            </w:pPr>
            <w:r>
              <w:rPr>
                <w:rFonts w:ascii="仿宋_GB2312" w:hAnsi="仿宋_GB2312" w:cs="仿宋_GB2312" w:eastAsia="仿宋_GB2312"/>
              </w:rPr>
              <w:t>二、工程内容</w:t>
            </w:r>
          </w:p>
          <w:p>
            <w:pPr>
              <w:pStyle w:val="null3"/>
            </w:pPr>
            <w:r>
              <w:rPr>
                <w:rFonts w:ascii="仿宋_GB2312" w:hAnsi="仿宋_GB2312" w:cs="仿宋_GB2312" w:eastAsia="仿宋_GB2312"/>
              </w:rPr>
              <w:t xml:space="preserve">   具体建设内容详见工程量清单。</w:t>
            </w:r>
          </w:p>
          <w:p>
            <w:pPr>
              <w:pStyle w:val="null3"/>
            </w:pPr>
            <w:r>
              <w:rPr>
                <w:rFonts w:ascii="仿宋_GB2312" w:hAnsi="仿宋_GB2312" w:cs="仿宋_GB2312" w:eastAsia="仿宋_GB2312"/>
                <w:sz w:val="21"/>
              </w:rPr>
              <w:t>三、技术标准和要求</w:t>
            </w:r>
          </w:p>
          <w:p>
            <w:pPr>
              <w:pStyle w:val="null3"/>
            </w:pPr>
            <w:r>
              <w:rPr>
                <w:rFonts w:ascii="仿宋_GB2312" w:hAnsi="仿宋_GB2312" w:cs="仿宋_GB2312" w:eastAsia="仿宋_GB2312"/>
                <w:sz w:val="21"/>
              </w:rPr>
              <w:t xml:space="preserve">  1.本工程的施工过程和成果必须符合国家有关工程建设标准强制性条文和国家或有关部门关于工程施工方面现行的标准、规范、规程、定额、办法、示例，以及陕西省关于工程施工方面的文件、规定。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sz w:val="21"/>
              </w:rPr>
              <w:t xml:space="preserve">  2.供应商在施工过程中使用或参考上述标准、规范以外的技术标准、规范时，应征得采购人的同意 。</w:t>
            </w:r>
          </w:p>
          <w:p>
            <w:pPr>
              <w:pStyle w:val="null3"/>
            </w:pPr>
            <w:r>
              <w:rPr>
                <w:rFonts w:ascii="仿宋_GB2312" w:hAnsi="仿宋_GB2312" w:cs="仿宋_GB2312" w:eastAsia="仿宋_GB2312"/>
                <w:sz w:val="21"/>
              </w:rPr>
              <w:t xml:space="preserve">  3.在施工过程中，如果国家或有关部门颁布了新的技术标准或规范，则承包人应采用新的标准或规范 进行施工。</w:t>
            </w:r>
          </w:p>
          <w:p>
            <w:pPr>
              <w:pStyle w:val="null3"/>
            </w:pPr>
            <w:r>
              <w:rPr>
                <w:rFonts w:ascii="仿宋_GB2312" w:hAnsi="仿宋_GB2312" w:cs="仿宋_GB2312" w:eastAsia="仿宋_GB2312"/>
                <w:sz w:val="21"/>
              </w:rPr>
              <w:t xml:space="preserve">  4.采购人提供工程的施工图纸和相关技术文件，是采购人现有的能被供应商利用的资料，采购人对供 应商做出的任何推论、理解均不负责任。</w:t>
            </w:r>
          </w:p>
          <w:p>
            <w:pPr>
              <w:pStyle w:val="null3"/>
            </w:pPr>
            <w:r>
              <w:rPr>
                <w:rFonts w:ascii="仿宋_GB2312" w:hAnsi="仿宋_GB2312" w:cs="仿宋_GB2312" w:eastAsia="仿宋_GB2312"/>
                <w:sz w:val="21"/>
              </w:rPr>
              <w:t xml:space="preserve">  5.供应商应先到工地踏勘以充分了解工地位置、地质情况、进出场道路、拆迁干扰、储存空间、运输 能力、装卸限制、行车干扰及任何其它足以影响承包价格的情况，了解设计图纸、施工规范、标准以 及施工现场实际等情况，并应考虑现有人、材、机市场水平和供应、投标风险、不利的施工因素等， 任何因忽视或误解工地情况而导致的索赔或工期延长申请将不获批准。</w:t>
            </w:r>
          </w:p>
          <w:p>
            <w:pPr>
              <w:pStyle w:val="null3"/>
            </w:pPr>
            <w:r>
              <w:rPr>
                <w:rFonts w:ascii="仿宋_GB2312" w:hAnsi="仿宋_GB2312" w:cs="仿宋_GB2312" w:eastAsia="仿宋_GB2312"/>
                <w:sz w:val="21"/>
              </w:rPr>
              <w:t xml:space="preserve">  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sz w:val="21"/>
              </w:rPr>
              <w:t xml:space="preserve">  7.质量必须达到现行合格标准，符合国家、行业、地方规定以及竞争性磋商文件规定的强制性质量和 安全标准要求。</w:t>
            </w:r>
          </w:p>
          <w:p>
            <w:pPr>
              <w:pStyle w:val="null3"/>
            </w:pPr>
            <w:r>
              <w:rPr>
                <w:rFonts w:ascii="仿宋_GB2312" w:hAnsi="仿宋_GB2312" w:cs="仿宋_GB2312" w:eastAsia="仿宋_GB2312"/>
                <w:sz w:val="21"/>
              </w:rPr>
              <w:t xml:space="preserve">  8.本项目如涉及与政府部门（包含且不限于）环保、城管、规划等沟通协调或办理手续，费用及手续 办理均由承包人负责，如因沟通协调及办理手续原因造成工期延误或费用增加等由承包人负责。</w:t>
            </w:r>
          </w:p>
          <w:p>
            <w:pPr>
              <w:pStyle w:val="null3"/>
            </w:pPr>
            <w:r>
              <w:rPr>
                <w:rFonts w:ascii="仿宋_GB2312" w:hAnsi="仿宋_GB2312" w:cs="仿宋_GB2312" w:eastAsia="仿宋_GB2312"/>
                <w:sz w:val="21"/>
              </w:rPr>
              <w:t xml:space="preserve">  9.施工过程中，供应商应制定详细可行的防污降噪处理措施，减少对周围环境的影响，每天施工结束 后对施工现场进行清扫。</w:t>
            </w:r>
          </w:p>
          <w:p>
            <w:pPr>
              <w:pStyle w:val="null3"/>
            </w:pPr>
            <w:r>
              <w:rPr>
                <w:rFonts w:ascii="仿宋_GB2312" w:hAnsi="仿宋_GB2312" w:cs="仿宋_GB2312" w:eastAsia="仿宋_GB2312"/>
                <w:sz w:val="21"/>
              </w:rPr>
              <w:t xml:space="preserve">  10.承包人不得将其承包的工程转包给他人，也不得将其承包的工程以分包的名义转包给他人。</w:t>
            </w:r>
          </w:p>
          <w:p>
            <w:pPr>
              <w:pStyle w:val="null3"/>
            </w:pPr>
            <w:r>
              <w:rPr>
                <w:rFonts w:ascii="仿宋_GB2312" w:hAnsi="仿宋_GB2312" w:cs="仿宋_GB2312" w:eastAsia="仿宋_GB2312"/>
                <w:sz w:val="21"/>
              </w:rPr>
              <w:t xml:space="preserve">  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sz w:val="21"/>
              </w:rPr>
              <w:t xml:space="preserve">  12.工程量清单详见附件。</w:t>
            </w:r>
          </w:p>
          <w:p>
            <w:pPr>
              <w:pStyle w:val="null3"/>
            </w:pPr>
            <w:r>
              <w:rPr>
                <w:rFonts w:ascii="仿宋_GB2312" w:hAnsi="仿宋_GB2312" w:cs="仿宋_GB2312" w:eastAsia="仿宋_GB2312"/>
                <w:sz w:val="21"/>
              </w:rPr>
              <w:t>四、本工程合同形式为固定综合单价合同。</w:t>
            </w:r>
          </w:p>
          <w:p>
            <w:pPr>
              <w:pStyle w:val="null3"/>
            </w:pPr>
            <w:r>
              <w:rPr>
                <w:rFonts w:ascii="仿宋_GB2312" w:hAnsi="仿宋_GB2312" w:cs="仿宋_GB2312" w:eastAsia="仿宋_GB2312"/>
                <w:sz w:val="21"/>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sz w:val="21"/>
              </w:rPr>
              <w:t>2.供应商在投标报价时应仔细对磋商文件进行透彻的分析研究，对图纸进行仔细的阅读和理解。</w:t>
            </w:r>
          </w:p>
          <w:p>
            <w:pPr>
              <w:pStyle w:val="null3"/>
            </w:pPr>
            <w:r>
              <w:rPr>
                <w:rFonts w:ascii="仿宋_GB2312" w:hAnsi="仿宋_GB2312" w:cs="仿宋_GB2312" w:eastAsia="仿宋_GB2312"/>
                <w:sz w:val="21"/>
              </w:rPr>
              <w:t>3.各供应商对分部分项工程费、措施项目费、其他项目费等进行自主报价、风险自负。</w:t>
            </w:r>
          </w:p>
          <w:p>
            <w:pPr>
              <w:pStyle w:val="null3"/>
            </w:pPr>
            <w:r>
              <w:rPr>
                <w:rFonts w:ascii="仿宋_GB2312" w:hAnsi="仿宋_GB2312" w:cs="仿宋_GB2312" w:eastAsia="仿宋_GB2312"/>
                <w:sz w:val="21"/>
              </w:rPr>
              <w:t xml:space="preserve"> 4.招标工程量清单的工程项目仅表达了主要工程做法，报价时各投标单位应依据图纸用料说明、相关 图集，结合图纸、磋商文件、合同条款、技术规范及现场情况进行科学合理组价。投标报价应包括该 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sz w:val="21"/>
              </w:rPr>
              <w:t>5.供应商在投标截止前修改投标函中的投标总报价，应同时修改“已标价工程量清单”中的相应报价。</w:t>
            </w:r>
          </w:p>
          <w:p>
            <w:pPr>
              <w:pStyle w:val="null3"/>
            </w:pPr>
            <w:r>
              <w:rPr>
                <w:rFonts w:ascii="仿宋_GB2312" w:hAnsi="仿宋_GB2312" w:cs="仿宋_GB2312" w:eastAsia="仿宋_GB2312"/>
              </w:rPr>
              <w:t>五、其他</w:t>
            </w:r>
          </w:p>
          <w:p>
            <w:pPr>
              <w:pStyle w:val="null3"/>
            </w:pPr>
            <w:r>
              <w:rPr>
                <w:rFonts w:ascii="仿宋_GB2312" w:hAnsi="仿宋_GB2312" w:cs="仿宋_GB2312" w:eastAsia="仿宋_GB2312"/>
              </w:rPr>
              <w:t>暂列金额其他费用：63000元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一、采购包1 ：工期30日历天；施工地点采购人指定地点。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满足采购文件的要求</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详见附件：《建设工程施工合同（示范文本）》（GF-2017-0201）[1].docx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