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版本号：SXBH-ZFCG-2025-13320251210001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铜川市耀州区国民经济和社会发展第十五个五年纲要编制项目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SXBH-ZFCG-2025-133</w:t>
      </w:r>
      <w:r>
        <w:br/>
      </w:r>
      <w:r>
        <w:br/>
      </w:r>
      <w:r>
        <w:br/>
      </w:r>
    </w:p>
    <w:p>
      <w:pPr>
        <w:pStyle w:val="null3"/>
        <w:jc w:val="center"/>
        <w:outlineLvl w:val="2"/>
      </w:pPr>
      <w:r>
        <w:rPr>
          <w:rFonts w:ascii="仿宋_GB2312" w:hAnsi="仿宋_GB2312" w:cs="仿宋_GB2312" w:eastAsia="仿宋_GB2312"/>
          <w:sz w:val="28"/>
          <w:b/>
        </w:rPr>
        <w:t>铜川市耀州区发展和改革局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铜川市耀州区发展和改革局</w:t>
      </w:r>
      <w:r>
        <w:rPr>
          <w:rFonts w:ascii="仿宋_GB2312" w:hAnsi="仿宋_GB2312" w:cs="仿宋_GB2312" w:eastAsia="仿宋_GB2312"/>
        </w:rPr>
        <w:t>委托，拟对</w:t>
      </w:r>
      <w:r>
        <w:rPr>
          <w:rFonts w:ascii="仿宋_GB2312" w:hAnsi="仿宋_GB2312" w:cs="仿宋_GB2312" w:eastAsia="仿宋_GB2312"/>
        </w:rPr>
        <w:t>铜川市耀州区国民经济和社会发展第十五个五年纲要编制项目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SXBH-ZFCG-2025-133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铜川市耀州区国民经济和社会发展第十五个五年纲要编制项目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对耀州区经济社会发展进行第十五个五年纲要编制服务采购。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采购包1（铜川市耀州区国民经济和社会发展第十五个五年纲要编制）：属于专门面向小微企业采购。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2、具有良好的商业信誉：须提供中国裁判文书网无行贿犯罪行为记录的查询截图，并随附良好商业信誉声明函（格式自拟，需法定代表人签字并加盖单位公章）；</w:t>
      </w:r>
    </w:p>
    <w:p>
      <w:pPr>
        <w:pStyle w:val="null3"/>
      </w:pPr>
      <w:r>
        <w:rPr>
          <w:rFonts w:ascii="仿宋_GB2312" w:hAnsi="仿宋_GB2312" w:cs="仿宋_GB2312" w:eastAsia="仿宋_GB2312"/>
        </w:rPr>
        <w:t>3、良好的财务制度：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磋商截止日前六个月内其基本存款账户开户银行出具的资信证明及基本存款账户信息，或信用担保机构出具的投标担保函；</w:t>
      </w:r>
    </w:p>
    <w:p>
      <w:pPr>
        <w:pStyle w:val="null3"/>
      </w:pPr>
      <w:r>
        <w:rPr>
          <w:rFonts w:ascii="仿宋_GB2312" w:hAnsi="仿宋_GB2312" w:cs="仿宋_GB2312" w:eastAsia="仿宋_GB2312"/>
        </w:rPr>
        <w:t>4、有依法缴纳税收的良好记录：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6、具有履行合同所必需的设备和专业技术能力：提供具有履行合同所必需的设备和专业技术能力的书面声明；</w:t>
      </w:r>
    </w:p>
    <w:p>
      <w:pPr>
        <w:pStyle w:val="null3"/>
      </w:pPr>
      <w:r>
        <w:rPr>
          <w:rFonts w:ascii="仿宋_GB2312" w:hAnsi="仿宋_GB2312" w:cs="仿宋_GB2312" w:eastAsia="仿宋_GB2312"/>
        </w:rPr>
        <w:t>7、参加本次政府采购活动前3年内在经营活动中没有重大违法记录或被起诉：提供参加本次政府采购活动前3年内在经营活动中没有重大违法记录或被起诉的书面声明；</w:t>
      </w:r>
    </w:p>
    <w:p>
      <w:pPr>
        <w:pStyle w:val="null3"/>
      </w:pPr>
      <w:r>
        <w:rPr>
          <w:rFonts w:ascii="仿宋_GB2312" w:hAnsi="仿宋_GB2312" w:cs="仿宋_GB2312" w:eastAsia="仿宋_GB2312"/>
        </w:rPr>
        <w:t>8、法定代表人或法定代表人授权：法定代表人（负责人）直接参加磋商的，须出具法定代表人（负责人）身份证明及身份证复印件，并与营业执照上信息一致；法定代表人授权代表参加磋商的，须出具法定代表人授权书及授权代表身份证复印件；</w:t>
      </w:r>
    </w:p>
    <w:p>
      <w:pPr>
        <w:pStyle w:val="null3"/>
      </w:pPr>
      <w:r>
        <w:rPr>
          <w:rFonts w:ascii="仿宋_GB2312" w:hAnsi="仿宋_GB2312" w:cs="仿宋_GB2312" w:eastAsia="仿宋_GB2312"/>
        </w:rPr>
        <w:t>9、无关联声明：提供单位负责人为同一人或者存在直接控股、管理关系的不同供应商，不得参加同一合同项下的政府采购活动的书面声明；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陕西省铜川市耀州区文英西路81号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0919-6189362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铜川市耀州区发展和改革局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联系人：霍少楠</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地址：铜川市印台区南苑社区惠民佳苑8号楼2楼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耀州区经济社会发展实际深入调研，全面总结“十四五”发展成就、存在短板，准确把握国际国内经济社会发展趋势，全面分析耀州区发展面临的形势，明确提出耀州区“十五五”经济社会发展的指导思想、战略定位、总体目标、重大布局、重点任务和保障措施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铜川市耀州区国民经济和社会发展第十五个五年规划纲要编制服务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标的名称：铜川市耀州区国民经济和社会发展第十五个五年规划纲要编制服务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一、项目名称：耀州区国民经济和社会发展第十五个五年规划纲要</w:t>
            </w:r>
          </w:p>
          <w:p>
            <w:pPr>
              <w:pStyle w:val="null3"/>
            </w:pPr>
            <w:r>
              <w:rPr>
                <w:rFonts w:ascii="仿宋_GB2312" w:hAnsi="仿宋_GB2312" w:cs="仿宋_GB2312" w:eastAsia="仿宋_GB2312"/>
              </w:rPr>
              <w:t>二、编制内容：对耀州区经济社会发展实际深入调研，全面总结“十四五”发展成就、存在短板，准确把握国际国内经济社会发展趋势，全面分析我区发展面临的形势。明确核心规划内容，基于调研成果和形势研判，科学制定耀州区“十五五”经济社会发展的指导思想、战略定位、总体目标、重大布局、重点任务和保障措施等。</w:t>
            </w:r>
          </w:p>
          <w:p>
            <w:pPr>
              <w:pStyle w:val="null3"/>
            </w:pPr>
            <w:r>
              <w:rPr>
                <w:rFonts w:ascii="仿宋_GB2312" w:hAnsi="仿宋_GB2312" w:cs="仿宋_GB2312" w:eastAsia="仿宋_GB2312"/>
              </w:rPr>
              <w:t>三、时间要求：（1）《耀州区国民经济和社会发展第十五个五年规划纲要》初步成果在合同签订之日起30日提交。</w:t>
            </w:r>
          </w:p>
          <w:p>
            <w:pPr>
              <w:pStyle w:val="null3"/>
            </w:pPr>
            <w:r>
              <w:rPr>
                <w:rFonts w:ascii="仿宋_GB2312" w:hAnsi="仿宋_GB2312" w:cs="仿宋_GB2312" w:eastAsia="仿宋_GB2312"/>
              </w:rPr>
              <w:t>（2）《耀州区国民经济和社会发展第十五个五年规划纲要》需提交会议研究，最终决议通过，视为项目结题。</w:t>
            </w:r>
          </w:p>
          <w:p>
            <w:pPr>
              <w:pStyle w:val="null3"/>
            </w:pPr>
            <w:r>
              <w:rPr>
                <w:rFonts w:ascii="仿宋_GB2312" w:hAnsi="仿宋_GB2312" w:cs="仿宋_GB2312" w:eastAsia="仿宋_GB2312"/>
              </w:rPr>
              <w:t>四、成果形式及数量要求：最终成果需同时提供电子版和纸质版，具体要求如下：</w:t>
            </w:r>
          </w:p>
          <w:p>
            <w:pPr>
              <w:pStyle w:val="null3"/>
            </w:pPr>
            <w:r>
              <w:rPr>
                <w:rFonts w:ascii="仿宋_GB2312" w:hAnsi="仿宋_GB2312" w:cs="仿宋_GB2312" w:eastAsia="仿宋_GB2312"/>
              </w:rPr>
              <w:t>（1）电子版成果：提供完整电子版成果1套，存储于专用U盘（U盘需标注项目名称及编制单位）。电子版内容包括Word格式和PDF格式各1份、相关配套材料等。所有电子版文件需按规范分类命名，建立清晰的文件夹目录结构，便于查阅和使用。</w:t>
            </w:r>
          </w:p>
          <w:p>
            <w:pPr>
              <w:pStyle w:val="null3"/>
            </w:pPr>
            <w:r>
              <w:rPr>
                <w:rFonts w:ascii="仿宋_GB2312" w:hAnsi="仿宋_GB2312" w:cs="仿宋_GB2312" w:eastAsia="仿宋_GB2312"/>
              </w:rPr>
              <w:t>（2）纸质版成果：提供最终定稿文本纸质版8份，纸质版需采用A4规格纸张，内页采用优质打印纸双面印刷，排版规范、字迹清晰、装订牢固。同时，需随纸质版成果附上电子版成果U盘，一并提交至采购人指定接收部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最终成果文件经甲方确认并通过后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 2、纸质响应文件正副本分别胶装（书脊处注明项目名称、编号），标明供应商名称密封递交，递交截止时间同在线递交电子响应文件截止时间一致，递交地址：铜川市印台区惠民佳苑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霍少楠，联系电话：18091953010）。3、若电子投标文件与纸质响应文件不一致的，以电子响应文件为准。4、本项目《中小企业声明函》须逐项完整响应；若存在缺项响应，或声明函所列任一服务非由小微企业服务，则供应商在本项目中无权享受中小企业扶持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磋商截止日前六个月内其基本存款账户开户银行出具的资信证明及基本存款账户信息，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须提供中国裁判文书网无行贿犯罪行为记录的查询截图，并随附良好商业信誉声明函（格式自拟，需法定代表人签字并加盖单位公章）；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良好的财务制度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磋商截止日前六个月内其基本存款账户开户银行出具的资信证明及基本存款账户信息，或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提供参加本次政府采购活动前3年内在经营活动中没有重大违法记录或被起诉的书面声明；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法定代表人或法定代表人授权</w:t>
            </w:r>
          </w:p>
        </w:tc>
        <w:tc>
          <w:tcPr>
            <w:tcW w:type="dxa" w:w="3322"/>
          </w:tcPr>
          <w:p>
            <w:pPr>
              <w:pStyle w:val="null3"/>
            </w:pPr>
            <w:r>
              <w:rPr>
                <w:rFonts w:ascii="仿宋_GB2312" w:hAnsi="仿宋_GB2312" w:cs="仿宋_GB2312" w:eastAsia="仿宋_GB2312"/>
              </w:rPr>
              <w:t>法定代表人（负责人）直接参加磋商的，须出具法定代表人（负责人）身份证明及身份证复印件，并与营业执照上信息一致；法定代表人授权代表参加磋商的，须出具法定代表人授权书及授权代表身份证复印件；</w:t>
            </w:r>
          </w:p>
        </w:tc>
        <w:tc>
          <w:tcPr>
            <w:tcW w:type="dxa" w:w="1661"/>
          </w:tcPr>
          <w:p>
            <w:pPr>
              <w:pStyle w:val="null3"/>
            </w:pPr>
            <w:r>
              <w:rPr>
                <w:rFonts w:ascii="仿宋_GB2312" w:hAnsi="仿宋_GB2312" w:cs="仿宋_GB2312" w:eastAsia="仿宋_GB2312"/>
              </w:rPr>
              <w:t>供应商应提交的相关资格证明材料 法定代表人证明书.docx 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不得高于磋商文件规定的服务期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一、核心评审内容及权重（每项计3分，未提供不计分） 1、服务内容：明确服务覆盖范围、基本思路和规划编制框架、各环节交付成果及服务周期内的关键时间节点； 2、服务标准：制定各服务环节的质量指标、服务时限要求； 3、服务方法及策略：阐述服务实施的具体路径、流程设计及突发问题预案； 4、人员组织安排：列明项目团队完整配置、岗位职责分工及人员稳定性保障措施。 二、扣分规则（累计扣分不超过对应评审内容分值，四项内容总扣分无上限，扣完对应分项分值即止） 1、任意一项未明确核心要素（如服务内容未列具体范围），扣0.5分/缺失项； 2、任意一项内容与采购需求明显冲突（如遗漏采购文件明确要求的服务环节、服务标准低于最低要求），扣0.5分/冲突处； 3、存在无法落地的表述（如实施周期短于必要工作时长），扣1分/处； 4、任意一项实施步骤缺失关键环节（如服务方法未含核心实施流程、验收方案未列初验环节），扣0.5分/缺失环节。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项目政策背景理解</w:t>
            </w:r>
          </w:p>
        </w:tc>
        <w:tc>
          <w:tcPr>
            <w:tcW w:type="dxa" w:w="2492"/>
          </w:tcPr>
          <w:p>
            <w:pPr>
              <w:pStyle w:val="null3"/>
            </w:pPr>
            <w:r>
              <w:rPr>
                <w:rFonts w:ascii="仿宋_GB2312" w:hAnsi="仿宋_GB2312" w:cs="仿宋_GB2312" w:eastAsia="仿宋_GB2312"/>
              </w:rPr>
              <w:t>一、核心评审内容及权重（总分5分） 根据本项目采购需求编制针对本项目理解及认识方案，对本项目背景、政策解读与理解；对现状情况收集与分析。 二、扣分规则（累计扣分不超过对应评审内容分值，总扣分无上限，扣完对应分项分值即止） 1、未说明项目实施的意义与价值（如对服务对象、社会的价值），扣1分； 2、内容不贴合，泛泛而谈，扣1分； 3、对项目理解的描述停留在行业通用层面，未结合本项目所在地区、服务群体，扣1分； 4、内容结构混乱、表述模糊，评审人员无法准确获取供应商核心理解观点（如段落不分、关键信息掩埋在冗余文字中），扣1分。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一、核心评审内容（每项计3分，未提供不计分） 1、前期准备：主要评审供应商对项目背景调研、资料收集、需求对接、团队组建及工作方案制定等前期工作的规划完整性与可行性； 2、报告编制：主要评审供应商的报告框架设计、内容撰写规范性、数据/论据支撑有效性、符合项目要求的专业性及编制效率保障措施； 3、报告审核、修改：主要评审供应商的审核流程设计、修改响应及时性； 4、定稿上报：主要评审供应商的定稿校验流程、上报资料完整性、上报时限把控、对接沟通机制及后续资料归档管理措施。 二、扣分规则（累计扣分不超过对应评审内容分值，四项内容总扣分无上限，扣完对应分项分值即止） 1、任意一项对各要求无详细描述及说明（仅简单提及工作内容，未明确核心要素，如前期准备未说明调研范围、报告编制未说明框架结构），扣0.5分/处； 2、关键实施细节缺失（如审核修改未说明、定稿上报未说明归档范围），扣0.5分/处； 3、未提供核心实施依据或保障措施（如编制无质量标准、修改无响应时限），扣2分； 4、核心内容与项目实际需求冲突（如报告编制框架不符合指定规范、审核标准低于行业最低要求），扣1分/处； 5、任意一项实施步骤不清晰、不合理（如报告编制未含初稿撰写环节、审核修改未含复核流程），扣1分/处。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一、核心评审内容（每项计3分，未提供不计分） 1、编制进度安排及保障措施：明确项目编制全流程的阶段划分、各阶段关键任务、时间节点规划（需细化至具体工作周期）；同时列明进度保障措施，包括人员投入保障、资源调配机制、进度跟踪与预警方式、延期应对预案等； 2、突发情况的应急措施：梳理项目编制过程中可能出现的突发场景（如核心人员变动、资料获取受阻、政策调整、技术难题等），针对不同场景制定具体应急处置流程、责任分工、响应时限及后续补救措施，确保项目编制工作顺利推进。 二、扣分规则（累计扣分不超过对应评审内容分值，两项内容总扣分无上限，扣完对应分项分值即止） 1、任意一项对核心要求无详细描述及说明（如进度安排未明确各阶段时间节点、应急措施未细化处置流程），扣0.5分/缺失要点； 2、若仅简单提及框架未展开任何具体内容，每出现1项扣1分； 3、存在明显脱离项目实际的表述（如保障措施适配其他类型项目而非本编制项目），扣1分/处； 4、任意一项实施步骤不清晰、不合理（如进度安排阶段划分混乱、应急措施处置流程逻辑矛盾），扣0.5分/问题处； 5、存在实施漏洞（如进度保障无跟踪机制、应急措施无责任分工）导致无法有效落地，扣1分/处。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一、核心评审内容（每项计3分，未提供不计分） 1、质量规划、目标：明确项目各阶段质量重点、节点；说明确保规划与目标具有针对性和可实现性； 2、保障措施：围绕设定的质量目标，列明全流程质量保障手段，包括但不限于过程管控流程、确保各环节质量可控； 3、未达到质量标准的改进措施：建立完善的质量反馈机制，针对可能出现的未达质量标准的场景，制定具体的整改流程、整改时限及复核验证方式。 二、扣分规则（累计扣分不超过对应评审内容分值，三项内容总扣分无上限，扣完对应分项分值即止） 1、任意一项对核心要求无详细描述及说明（如保障措施未明确具体管控流程、改进措施未细化整改步骤），扣0.5分/缺失要点； 2、若仅简单提及框架未展开任何具体内容，每出现1项扣1分；本项累计扣分最高不超过2分； 3、存在明显脱离项目实际的表述（如设定的质量目标远超行业常规水平且无合理依据），扣1分/处；本项累计扣分最高不超过2分； 4、存在实施漏洞（如保障措施无质量检查标准、改进措施无复核验证环节）导致无法有效落地，扣1分/处；本项累计扣分最高不超过2分。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一、核心评审内容（每项计3分，未提供不计分） 1、针对本项目获悉的采购人相关信息制定完整可行的保密措施：明确本项目中可能接触到的采购人信息范围（如工作秘密、内部数据等），列明保密责任分工、制定覆盖信息获取、存储、使用、传输全流程的专项保密措施 2、具备完善的内部保密制度：提供健全的内部保密管理制度文本（或核心条款说明），内容涵盖保密管理组织架构、人员保密培训机制、保密风险排查流程及应急处置预案等；需证明制度可有效支撑本项目保密工作开展，具备实际执行性。 二、扣分规则（累计扣分不超过对应评审内容分值，两项内容总扣分无上限，扣完对应分项分值即止） 1、任意一项对核心要求无详细描述及说明（如专项保密措施未明确信息全流程管控细节、内部保密制度未列明核心管理条款），扣0.5分/缺失要点； 2、若仅简单提及框架未展开任何具体内容（如仅说明“有保密措施”但未描述具体内容），每出现1项扣1分；本项累计扣分最高不超过2分； 3、存在明显脱离项目实际的表述（如针对涉密信息仅制定常规信息管理措施），扣1分/处；本项累计扣分最高不超过2分。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成果交付资料</w:t>
            </w:r>
          </w:p>
        </w:tc>
        <w:tc>
          <w:tcPr>
            <w:tcW w:type="dxa" w:w="2492"/>
          </w:tcPr>
          <w:p>
            <w:pPr>
              <w:pStyle w:val="null3"/>
            </w:pPr>
            <w:r>
              <w:rPr>
                <w:rFonts w:ascii="仿宋_GB2312" w:hAnsi="仿宋_GB2312" w:cs="仿宋_GB2312" w:eastAsia="仿宋_GB2312"/>
              </w:rPr>
              <w:t>一、核心评审内容（每项计2分，未提供不计分） 1、成果交付资料真实、有效、切实可实施：明确本项目核心成果交付资料的完整清单，确保资料有效性的合规依据（如符合行业标准、采购人要求）； 2、若未达到采购人标准，提供具体的挽救措施：预先明确成果质量的判定基准（与采购人标准保持一致）；针对可能出现的未达标准的不同场景（如资料完整性缺失、内容不符合要求、可实施性不足等），制定分层分类的挽救措施，明确各措施的实施主体、操作步骤、整改时限确保挽救后成果可满足采购人要求。 二、扣分规则（累计扣分不超过对应评审内容分值，两项内容总扣分无上限，扣完对应分项分值即止） 1、任意一项对核心要求无详细描述及说明（如未列明成果交付资料完整清单、未说明资料真实性验证方式、挽救措施未区分具体未达标场景），扣0.5分/缺失要点； 2、任意一项内容与项目实际情况不符（如成果交付资料清单遗漏核心文件、挽救措施不适配本项目成果类型），扣0.5分/不符处； 3、任意一项实施步骤不清晰、不合理（如资料真实性验证流程逻辑混乱、挽救措施操作步骤模糊、未明确整改时限与责任主体），扣0.5分/问题处。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一、核心评审内容（总分15分） 1、团队基础配置（4分）：项目团队成员不少于6人，提供符合要求的人员基础信息（含身份证复印件，加盖公章），经评审确认满足人数要求的计4分；人数不足或未提供基础信息的不计分。 2、团队专业资质（6分）：基础资质达标计4分，在此基础上额外加分，最高累计得4分。具体要求如下：① 基础资质：需满足2人具有相关专业中级及以上职称，提供对应人员的职称证书、身份证复印件（均加盖公章），全部达标计4分；任意一项基础要求未满足的本项基础分不计分；② 额外加分：在基础资质达标的前提下，每增加1名具有相关专业中级及以上职称的团队成员，计1分，本项额外加分最高计2分。（本项同一成员不重复计分） 3、团队实操经验（3分）：项目团队成员需具备丰富的相关项目实操经验，供应商需提供团队成员的工作履历（含项目经历、岗位职责等关键信息）等证明材料（加盖公章）。证明资料完整有效的，计3分；未提供证明材料、资料不齐全的，本项均不得分。 4、人员稳定保障（2分）：供应商需提供书面承诺，明确若成交，服务团队人员不得随意更换；若因不可抗力因素确需更换，须至少提前7个工作日以书面形式通知采购人，并同步上报拟更换人员的完整个人资料，经采购人审核同意后方可更换。提供符合上述要求的承诺函（加盖公章），计2分；未提供的不计分。 二、扣分规则(累计扣分不超过对应分项分值，总扣分无上限，扣完对应分项分值即止） 1、针对需补充说明的评审内容（如团队经验证明材料中未详细列明项目经历、拟更换人员资料上报范围未明确），未按要求提供详细描述及说明的，扣0.5分/处； 2、提交的团队相关内容与项目实际情况不符（如人员职称专业与本项目核心需求不匹配、工作履历中项目经验与本项目类型差异较大），经评审确认存在不符情形的，扣0.5分/处； 3、针对人员更换等需明确操作流程的内容，未清晰列明实施步骤或步骤设计不合理（如未明确书面通知的具体形式、未说明采购人审核的核心流程），扣0.5分/处。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核心评审内容：（每提供一份计2分，最高得10分，未提供不计分） 供应商从2022年1月1日以来已完成同类项目业绩（以合同签订日期为准）。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核心评审内容：（每项计2分，本项最高计4分，未提供不计分） 1、承诺配合相关验收工作，达到有关主管部门审批要求，负责配合采购人将成果上报有关主管部门并获得批准通过。 2、承诺服务成果的相关资料知识产权归采购人所有。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核心评审内容：（每提供一项计1分，本项最高计2分，未提供不计分） 提供针对本项目实施合理化建议，提供科学、有实际实用价值的建议。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详见附件：供应商同类项目业绩一览表.docx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