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版本号：SXXCCGZB-2025-00420251212001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铜川市耀州区企业国有资产清查项目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SXXCCGZB-2025-004</w:t>
      </w:r>
      <w:r>
        <w:br/>
      </w:r>
      <w:r>
        <w:br/>
      </w:r>
      <w:r>
        <w:br/>
      </w:r>
    </w:p>
    <w:p>
      <w:pPr>
        <w:pStyle w:val="null3"/>
        <w:jc w:val="center"/>
        <w:outlineLvl w:val="2"/>
      </w:pPr>
      <w:r>
        <w:rPr>
          <w:rFonts w:ascii="仿宋_GB2312" w:hAnsi="仿宋_GB2312" w:cs="仿宋_GB2312" w:eastAsia="仿宋_GB2312"/>
          <w:sz w:val="28"/>
          <w:b/>
        </w:rPr>
        <w:t>铜川市耀州区财政局</w:t>
      </w:r>
    </w:p>
    <w:p>
      <w:pPr>
        <w:pStyle w:val="null3"/>
        <w:jc w:val="center"/>
        <w:outlineLvl w:val="2"/>
      </w:pPr>
      <w:r>
        <w:rPr>
          <w:rFonts w:ascii="仿宋_GB2312" w:hAnsi="仿宋_GB2312" w:cs="仿宋_GB2312" w:eastAsia="仿宋_GB2312"/>
          <w:sz w:val="28"/>
          <w:b/>
        </w:rPr>
        <w:t>陕西轩诚项目管理有限公司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陕西轩诚项目管理有限公司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铜川市耀州区财政局</w:t>
      </w:r>
      <w:r>
        <w:rPr>
          <w:rFonts w:ascii="仿宋_GB2312" w:hAnsi="仿宋_GB2312" w:cs="仿宋_GB2312" w:eastAsia="仿宋_GB2312"/>
        </w:rPr>
        <w:t>委托，拟对</w:t>
      </w:r>
      <w:r>
        <w:rPr>
          <w:rFonts w:ascii="仿宋_GB2312" w:hAnsi="仿宋_GB2312" w:cs="仿宋_GB2312" w:eastAsia="仿宋_GB2312"/>
        </w:rPr>
        <w:t>铜川市耀州区企业国有资产清查项目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SXXCCGZB-2025-004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铜川市耀州区企业国有资产清查项目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切实加强耀州区国有资产管理，提高国有资产运营效率，加快推进区国有企业战略性重组和专业化整合。根据《铜川市国企改革深化提升行动工作方案(2023-2025年)》要求，在全区范围开展企业国有资产清查工作。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采购包1（铜川市耀州区企业国有资产清查项目1包）：属于专门面向中小企业采购。</w:t>
      </w:r>
    </w:p>
    <w:p>
      <w:pPr>
        <w:pStyle w:val="null3"/>
      </w:pPr>
      <w:r>
        <w:rPr>
          <w:rFonts w:ascii="仿宋_GB2312" w:hAnsi="仿宋_GB2312" w:cs="仿宋_GB2312" w:eastAsia="仿宋_GB2312"/>
        </w:rPr>
        <w:t>采购包2（铜川市耀州区企业国有资产清查项目2包）：属于专门面向中小企业采购。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2、具有健全的财务会计制度的证明材料：提供（1）或提供（2）：（1）提供2024年度财务报告复印件，应满足以下要求：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p>
      <w:pPr>
        <w:pStyle w:val="null3"/>
      </w:pPr>
      <w:r>
        <w:rPr>
          <w:rFonts w:ascii="仿宋_GB2312" w:hAnsi="仿宋_GB2312" w:cs="仿宋_GB2312" w:eastAsia="仿宋_GB2312"/>
        </w:rPr>
        <w:t>3、依法缴纳税收证明：提供2025年至今已缴纳的1个月的纳税证明或完税证明，依法免税的单位应提供相关证明材料；</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5、具有良好的商业信誉：供应商不得在“信用中国(www.creditchina.gov.cn)”中列入重大税收违法失信主体、严重失信主体名单的供应商；不得在“中国执行信息公开网 (http://zxg k.court.gov.cn)”被列为失信被执行人；不得为“中国政府采购网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6、履行能力：提供具有履行本合同所必需的设备和专业技术能力的证明材料或承诺；</w:t>
      </w:r>
    </w:p>
    <w:p>
      <w:pPr>
        <w:pStyle w:val="null3"/>
      </w:pPr>
      <w:r>
        <w:rPr>
          <w:rFonts w:ascii="仿宋_GB2312" w:hAnsi="仿宋_GB2312" w:cs="仿宋_GB2312" w:eastAsia="仿宋_GB2312"/>
        </w:rPr>
        <w:t>7、无重大违法记录声明：提供参加政府采购活动近三年内在经营活动中没有重大违法记录的书面声明；</w:t>
      </w:r>
    </w:p>
    <w:p>
      <w:pPr>
        <w:pStyle w:val="null3"/>
      </w:pPr>
      <w:r>
        <w:rPr>
          <w:rFonts w:ascii="仿宋_GB2312" w:hAnsi="仿宋_GB2312" w:cs="仿宋_GB2312" w:eastAsia="仿宋_GB2312"/>
        </w:rPr>
        <w:t>8、资质证书：供应商须具有行业主管部门颁发的会计师事务所执业证书；</w:t>
      </w:r>
    </w:p>
    <w:p>
      <w:pPr>
        <w:pStyle w:val="null3"/>
      </w:pPr>
      <w:r>
        <w:rPr>
          <w:rFonts w:ascii="仿宋_GB2312" w:hAnsi="仿宋_GB2312" w:cs="仿宋_GB2312" w:eastAsia="仿宋_GB2312"/>
        </w:rPr>
        <w:t>9、项目负责人：具有注册会计师资格且需提供2025年连续3个月缴纳社保证明;</w:t>
      </w:r>
    </w:p>
    <w:p>
      <w:pPr>
        <w:pStyle w:val="null3"/>
      </w:pPr>
      <w:r>
        <w:rPr>
          <w:rFonts w:ascii="仿宋_GB2312" w:hAnsi="仿宋_GB2312" w:cs="仿宋_GB2312" w:eastAsia="仿宋_GB2312"/>
        </w:rPr>
        <w:t>10、授权委托书：法定代表人参加会议时，提供本人身份证；授权代表参加会议时，提供法定代表人 授权书和被授权人身份证；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2、具有健全的财务会计制度的证明材料：提供（1）或提供（2）：（1）提供2024年度财务报告复印件，应满足以下要求：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p>
      <w:pPr>
        <w:pStyle w:val="null3"/>
      </w:pPr>
      <w:r>
        <w:rPr>
          <w:rFonts w:ascii="仿宋_GB2312" w:hAnsi="仿宋_GB2312" w:cs="仿宋_GB2312" w:eastAsia="仿宋_GB2312"/>
        </w:rPr>
        <w:t>3、依法缴纳税收证明：提供2025年至今已缴纳的1个月的纳税证明或完税证明，依法免税的单位应提供相关证明材料；</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5、具有良好的商业信誉：供应商不得在“信用中国(www.creditchina.gov.cn)”中列入重大税收违法失信主体、严重失信主体名单的供应商；不得在“中国执行信息公开网 (http://zxg k.court.gov.cn)”被列为失信被执行人；不得为“中国政府采购网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6、履行能力：提供具有履行本合同所必需的设备和专业技术能力的证明资料或承诺；</w:t>
      </w:r>
    </w:p>
    <w:p>
      <w:pPr>
        <w:pStyle w:val="null3"/>
      </w:pPr>
      <w:r>
        <w:rPr>
          <w:rFonts w:ascii="仿宋_GB2312" w:hAnsi="仿宋_GB2312" w:cs="仿宋_GB2312" w:eastAsia="仿宋_GB2312"/>
        </w:rPr>
        <w:t>7、无重大违法记录声明：提供参加政府采购活动近三年内在经营活动中没有重大违法记录的书面声明；</w:t>
      </w:r>
    </w:p>
    <w:p>
      <w:pPr>
        <w:pStyle w:val="null3"/>
      </w:pPr>
      <w:r>
        <w:rPr>
          <w:rFonts w:ascii="仿宋_GB2312" w:hAnsi="仿宋_GB2312" w:cs="仿宋_GB2312" w:eastAsia="仿宋_GB2312"/>
        </w:rPr>
        <w:t>8、资质证书：供应商须具有行业主管部门颁发的会计师事务所执业证书；</w:t>
      </w:r>
    </w:p>
    <w:p>
      <w:pPr>
        <w:pStyle w:val="null3"/>
      </w:pPr>
      <w:r>
        <w:rPr>
          <w:rFonts w:ascii="仿宋_GB2312" w:hAnsi="仿宋_GB2312" w:cs="仿宋_GB2312" w:eastAsia="仿宋_GB2312"/>
        </w:rPr>
        <w:t>9、项目负责人：具有注册会计师资格且需提供2025年连续3个月缴纳社保证明;</w:t>
      </w:r>
    </w:p>
    <w:p>
      <w:pPr>
        <w:pStyle w:val="null3"/>
      </w:pPr>
      <w:r>
        <w:rPr>
          <w:rFonts w:ascii="仿宋_GB2312" w:hAnsi="仿宋_GB2312" w:cs="仿宋_GB2312" w:eastAsia="仿宋_GB2312"/>
        </w:rPr>
        <w:t>10、授权委托书：法定代表人参加会议时，提供本人身份证；授权代表参加会议时，提供法定代表人 授权书和被授权人身份证；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027000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李伯剑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18691933553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陕西省铜川市王益区金茂大厦D座1602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铜川市耀州区财政局</w:t>
      </w:r>
      <w:r>
        <w:rPr>
          <w:rFonts w:ascii="仿宋_GB2312" w:hAnsi="仿宋_GB2312" w:cs="仿宋_GB2312" w:eastAsia="仿宋_GB2312"/>
        </w:rPr>
        <w:t>和</w:t>
      </w:r>
      <w:r>
        <w:rPr>
          <w:rFonts w:ascii="仿宋_GB2312" w:hAnsi="仿宋_GB2312" w:cs="仿宋_GB2312" w:eastAsia="仿宋_GB2312"/>
        </w:rPr>
        <w:t>陕西轩诚项目管理有限公司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联系人：郭静</w:t>
      </w:r>
    </w:p>
    <w:p>
      <w:pPr>
        <w:pStyle w:val="null3"/>
      </w:pPr>
      <w:r>
        <w:rPr>
          <w:rFonts w:ascii="仿宋_GB2312" w:hAnsi="仿宋_GB2312" w:cs="仿宋_GB2312" w:eastAsia="仿宋_GB2312"/>
        </w:rPr>
        <w:t>联系电话：0919-2581311</w:t>
      </w:r>
    </w:p>
    <w:p>
      <w:pPr>
        <w:pStyle w:val="null3"/>
      </w:pPr>
      <w:r>
        <w:rPr>
          <w:rFonts w:ascii="仿宋_GB2312" w:hAnsi="仿宋_GB2312" w:cs="仿宋_GB2312" w:eastAsia="仿宋_GB2312"/>
        </w:rPr>
        <w:t>地址：陕西省铜川市王益区金茂大厦D座1602室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切实加强耀州区国有资产管理，提高国有资产运营效率，加快推进区国有企业战略性重组和专业化整合。根据《铜川市国企改革深化提升行动工作方案(2023-2025年)》要求，在全区范围开展企业国有资产清查工作。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铜川市耀州区企业国有资产清查项目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铜川市耀州区企业国有资产清查项目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标的名称：铜川市耀州区企业国有资产清查项目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标的名称：铜川市耀州区企业国有资产清查项目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以资格要求为准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以资格要求为准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乙方提交最终成果经甲方验收合格后，乙方出具正规发票给甲方，甲方在收到正规发票完成报账程序后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乙方提交最终成果经甲方验收合格后，乙方出具正规发票给甲方，甲方在收到正规发票完成报账程序后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竞争性磋商响应文件，同时，于响应文件递交截止时间前线下提交竞争性磋商响应文件纸质版至陕西省铜川市王益区金茂大厦D座1602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若电子竞争性磋商响应文件与纸质竞争性磋商响应文件不一致的，以电子竞争性磋商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供应商不得在“信用中国(www.creditchina.gov.cn)”中列入重大税收违法失信主体、严重失信主体名单的供应商；不得在“中国执行信息公开网 (http://zxg k.court.gov.cn)”被列为失信被执行人；不得为“中国政府采购网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提供具有履行本合同所必需的设备和专业技术能力的证明材料或承诺；</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供应商须具有行业主管部门颁发的会计师事务所执业证书；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具有注册会计师资格且需提供2025年连续3个月缴纳社保证明;</w:t>
            </w:r>
          </w:p>
        </w:tc>
        <w:tc>
          <w:tcPr>
            <w:tcW w:type="dxa" w:w="1661"/>
          </w:tcPr>
          <w:p>
            <w:pPr>
              <w:pStyle w:val="null3"/>
            </w:pPr>
            <w:r>
              <w:rPr>
                <w:rFonts w:ascii="仿宋_GB2312" w:hAnsi="仿宋_GB2312" w:cs="仿宋_GB2312" w:eastAsia="仿宋_GB2312"/>
              </w:rPr>
              <w:t>供应商应提交的相关资格证明材料(1包).docx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 授权书和被授权人身份证；</w:t>
            </w:r>
          </w:p>
        </w:tc>
        <w:tc>
          <w:tcPr>
            <w:tcW w:type="dxa" w:w="1661"/>
          </w:tcPr>
          <w:p>
            <w:pPr>
              <w:pStyle w:val="null3"/>
            </w:pPr>
            <w:r>
              <w:rPr>
                <w:rFonts w:ascii="仿宋_GB2312" w:hAnsi="仿宋_GB2312" w:cs="仿宋_GB2312" w:eastAsia="仿宋_GB2312"/>
              </w:rPr>
              <w:t>法定代表人身份证明书(1包).docx 法定代表人授权委托书(1包).docx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供应商不得在“信用中国(www.creditchina.gov.cn)”中列入重大税收违法失信主体、严重失信主体名单的供应商；不得在“中国执行信息公开网 (http://zxg k.court.gov.cn)”被列为失信被执行人；不得为“中国政府采购网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提供具有履行本合同所必需的设备和专业技术能力的证明资料或承诺；</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供应商须具有行业主管部门颁发的会计师事务所执业证书；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具有注册会计师资格且需提供2025年连续3个月缴纳社保证明;</w:t>
            </w:r>
          </w:p>
        </w:tc>
        <w:tc>
          <w:tcPr>
            <w:tcW w:type="dxa" w:w="1661"/>
          </w:tcPr>
          <w:p>
            <w:pPr>
              <w:pStyle w:val="null3"/>
            </w:pPr>
            <w:r>
              <w:rPr>
                <w:rFonts w:ascii="仿宋_GB2312" w:hAnsi="仿宋_GB2312" w:cs="仿宋_GB2312" w:eastAsia="仿宋_GB2312"/>
              </w:rPr>
              <w:t>供应商应提交的相关资格证明材料(2包).docx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 授权书和被授权人身份证；</w:t>
            </w:r>
          </w:p>
        </w:tc>
        <w:tc>
          <w:tcPr>
            <w:tcW w:type="dxa" w:w="1661"/>
          </w:tcPr>
          <w:p>
            <w:pPr>
              <w:pStyle w:val="null3"/>
            </w:pPr>
            <w:r>
              <w:rPr>
                <w:rFonts w:ascii="仿宋_GB2312" w:hAnsi="仿宋_GB2312" w:cs="仿宋_GB2312" w:eastAsia="仿宋_GB2312"/>
              </w:rPr>
              <w:t>响应函 法定代表人身份证明书(2包).docx 法定代表人授权委托书(2包).docx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供应商应提交的相关资格证明材料(1包).docx 项目管理机构人员表(1包).docx 服务内容及服务邀请应答表 中小企业声明函 商务应答表 法定代表人身份证明书(1包).docx 报价表 响应文件封面 残疾人福利性单位声明函 供应商类似项目业绩一览表(1包).docx 服务方案 标的清单 响应函 法定代表人授权委托书(1包).docx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项目管理机构人员表(2包).docx 服务内容及服务邀请应答表 中小企业声明函 商务应答表 报价表 法定代表人身份证明书(2包).docx 响应文件封面 供应商类似项目业绩一览表(2包).docx 残疾人福利性单位声明函 服务方案 标的清单 响应函 监狱企业的证明文件 法定代表人授权委托书(2包).docx 供应商应提交的相关资格证明材料(2包).docx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针对本项目提供需求分析，内容包括但不限于①对本项目工作内容的理解；②项目背景分析。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针对本项目提供整体服务方案，内容至少包括①服务内容；②技术标准依据；③ 工作目标④工作范围； 方案内容全面详细、阐述条理清晰、针对性强，科学合理。 每项满分5分，缺项不得分，每有一项内容存在瑕疵，扣0.5分。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针对本项目提供项目重点、难点分析，内容包括但不限于 ①项目实施过程中的重点、难点分析；② 关于重难点的应对措施及解决方案。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根据项目实际需求，编制详细的进度计划安排，内容包括但不限于①项目实施进度计划；②项目完成进度保障措施；③突发情况的应急方案。 方案内容全面详细、阐述条理清晰、针对性强，科学合理，能确保项目顺利完成。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针对本项目提供质量保证措施，内容包括但不限于①质量保障方案；②质量目标；③质量服务承诺。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在满足采购人需求的基础上额外提供了合理化建议，根据其完整性、科学性赋分； 建议内容科学可行，有针对性且内容丰富，得 10 分； 建议内容较为可行，针对性较强，得 9 分； 建议内容相对可行，针对性相对较强，得 8 分； 建议内容基本可行，具有一定的针对性，得7 分； 建议内容笼统简单，有针对性，得 6 分； 建议内容存在漏洞，不具备针对性，得 5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针对本项目提供保密措施，内容包括但不限于①保密管理制度；②保密内容；③具体工作保密措施；④保密承诺等。 方案内容全面详细、阐述条理清晰、针对性强，实施性科学合理。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（1）除项目负责人外，项目组人员具备1个注册会计师得2分，最高得6分；（2）除项目负责人外，项目组人员配备1名财会类中级职称及以上人数的1分。最高得2分 备注：提供上述人员的身份证、学历证书、资格证或职称证书、本单位为其缴纳的连续近 3 个月的社保证明等（退休人员须提供退休证明），未提供不得分。同一人具有多种证书的不得重复得分。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项目管理机构人员表(1包).docx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提供2022年1月1日至今以来承担类似项目的业绩证明文件（以合同签订时间为准）为准），每提供一份有效业绩得2分，最高得10分。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供应商类似项目业绩一览表(1包).docx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采用低价优先法计算，即满足磋商文件要求且磋商价格最低的最终磋商报价为评标基准价，按照下列公式计算： 磋商报价得分=（评标基准价/最终磋商报价）×价格权值（ 即10%）×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针对本项目提供需求分析，内容包括但不限于①对本项目工作内容的理解；②项目背景分析。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针对本项目提供整体服务方案，内容至少包括①服务内容；②技术标准依据；③ 工作目标④工作范围； 方案内容全面详细、阐述条理清晰、针对性强，科学合理。 每项满分5分，缺项不得分，每有一项内容存在瑕疵，扣0.5分。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针对本项目提供项目重点、难点分析，内容包括但不限于 ①项目实施过程中的重点、难点分析；② 关于重难点的应对措施及解决方案。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根据项目实际需求，编制详细的进度计划安排，内容包括但不限于①项目实施进度计划；②项目完成进度保障措施；③突发情况的应急方案。 方案内容全面详细、阐述条理清晰、针对性强，科学合理，能确保项目顺利完成。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针对本项目提供质量保证措施，内容包括但不限于①质量保障方案；②质量目标；③质量服务承诺。 方案内容全面详细、阐述条理清晰、针对性强，科学合理。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在满足采购人需求的基础上额外提供了合理化建议，根据其完整性、科学性赋分； 建议内容科学可行，有针对性且内容丰富，得 10 分； 建议内容较为可行，针对性较强，得 9 分； 建议内容相对可行，针对性相对较强，得 8 分； 建议内容基本可行，具有一定的针对性，得7 分； 建议内容笼统简单，有针对性，得 6 分； 建议内容存在漏洞，不具备针对性，得 5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针对本项目提供保密措施，内容包括但不限于①保密管理制度；②保密内容；③具体工作保密措施；④保密承诺等。 方案内容全面详细、阐述条理清晰、针对性强，实施性科学合理。 每项满分3分，缺项不得分，每有一项内容存在瑕疵，扣0.5分。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（1）除项目负责人外，项目组人员具备1个注册会计师得2分，最高得6分；（2）除项目负责人外，项目组人员配备1名财会类中级职称及以上人数的1分。最高得2分 备注：提供上述人员的身份证、学历证书、资格证或职称证书、本单位为其缴纳的连续近 3 个月的社保证明等（退休人员须提供退休证明），未提供不得分。同一人具有多种证书的不得重复得分。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项目管理机构人员表(2包).docx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提供2022年1月1日至今以来承担类似项目的业绩证明文件（以合同签订时间为准）为准），每提供一份有效业绩得2分，最高得10分。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供应商类似项目业绩一览表(2包).docx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采用低价优先法计算，即满足磋商文件要求且磋商价格最低的最终磋商报价为评标基准价，按照下列公式计算： 磋商报价得分=（评标基准价/最终磋商报价）×价格权值（ 即10%）×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详见附件：法定代表人身份证明书(1包).docx</w:t>
      </w:r>
    </w:p>
    <w:p>
      <w:pPr>
        <w:pStyle w:val="null3"/>
        <w:ind w:firstLine="960"/>
      </w:pPr>
      <w:r>
        <w:rPr>
          <w:rFonts w:ascii="仿宋_GB2312" w:hAnsi="仿宋_GB2312" w:cs="仿宋_GB2312" w:eastAsia="仿宋_GB2312"/>
        </w:rPr>
        <w:t>详见附件：法定代表人授权委托书(1包).docx</w:t>
      </w:r>
    </w:p>
    <w:p>
      <w:pPr>
        <w:pStyle w:val="null3"/>
        <w:ind w:firstLine="960"/>
      </w:pPr>
      <w:r>
        <w:rPr>
          <w:rFonts w:ascii="仿宋_GB2312" w:hAnsi="仿宋_GB2312" w:cs="仿宋_GB2312" w:eastAsia="仿宋_GB2312"/>
        </w:rPr>
        <w:t>详见附件：供应商应提交的相关资格证明材料(1包).docx</w:t>
      </w:r>
    </w:p>
    <w:p>
      <w:pPr>
        <w:pStyle w:val="null3"/>
        <w:ind w:firstLine="960"/>
      </w:pPr>
      <w:r>
        <w:rPr>
          <w:rFonts w:ascii="仿宋_GB2312" w:hAnsi="仿宋_GB2312" w:cs="仿宋_GB2312" w:eastAsia="仿宋_GB2312"/>
        </w:rPr>
        <w:t>详见附件：供应商类似项目业绩一览表(1包).docx</w:t>
      </w:r>
    </w:p>
    <w:p>
      <w:pPr>
        <w:pStyle w:val="null3"/>
        <w:ind w:firstLine="960"/>
      </w:pPr>
      <w:r>
        <w:rPr>
          <w:rFonts w:ascii="仿宋_GB2312" w:hAnsi="仿宋_GB2312" w:cs="仿宋_GB2312" w:eastAsia="仿宋_GB2312"/>
        </w:rPr>
        <w:t>详见附件：项目管理机构人员表(1包).docx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详见附件：法定代表人身份证明书(2包).docx</w:t>
      </w:r>
    </w:p>
    <w:p>
      <w:pPr>
        <w:pStyle w:val="null3"/>
        <w:ind w:firstLine="960"/>
      </w:pPr>
      <w:r>
        <w:rPr>
          <w:rFonts w:ascii="仿宋_GB2312" w:hAnsi="仿宋_GB2312" w:cs="仿宋_GB2312" w:eastAsia="仿宋_GB2312"/>
        </w:rPr>
        <w:t>详见附件：法定代表人授权委托书(2包).docx</w:t>
      </w:r>
    </w:p>
    <w:p>
      <w:pPr>
        <w:pStyle w:val="null3"/>
        <w:ind w:firstLine="960"/>
      </w:pPr>
      <w:r>
        <w:rPr>
          <w:rFonts w:ascii="仿宋_GB2312" w:hAnsi="仿宋_GB2312" w:cs="仿宋_GB2312" w:eastAsia="仿宋_GB2312"/>
        </w:rPr>
        <w:t>详见附件：供应商应提交的相关资格证明材料(2包).docx</w:t>
      </w:r>
    </w:p>
    <w:p>
      <w:pPr>
        <w:pStyle w:val="null3"/>
        <w:ind w:firstLine="960"/>
      </w:pPr>
      <w:r>
        <w:rPr>
          <w:rFonts w:ascii="仿宋_GB2312" w:hAnsi="仿宋_GB2312" w:cs="仿宋_GB2312" w:eastAsia="仿宋_GB2312"/>
        </w:rPr>
        <w:t>详见附件：供应商类似项目业绩一览表(2包).docx</w:t>
      </w:r>
    </w:p>
    <w:p>
      <w:pPr>
        <w:pStyle w:val="null3"/>
        <w:ind w:firstLine="960"/>
      </w:pPr>
      <w:r>
        <w:rPr>
          <w:rFonts w:ascii="仿宋_GB2312" w:hAnsi="仿宋_GB2312" w:cs="仿宋_GB2312" w:eastAsia="仿宋_GB2312"/>
        </w:rPr>
        <w:t>详见附件：项目管理机构人员表(2包).docx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